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GSIB Board Duties — Reform Roadmap</w:t>
      </w:r>
    </w:p>
    <w:p>
      <w:pPr>
        <w:pBdr>
          <w:bottom w:val="single" w:color="1F3864" w:sz="6" w:space="1"/>
        </w:pBdr>
        <w:spacing w:after="240"/>
      </w:pPr>
      <w:r>
        <w:rPr>
          <w:rFonts w:ascii="Arial" w:cs="Arial" w:eastAsia="Arial" w:hAnsi="Arial"/>
          <w:color w:val="6B7280"/>
          <w:sz w:val="20"/>
          <w:szCs w:val="20"/>
        </w:rPr>
        <w:t xml:space="preserve">v2 · July 2026 · companion to the Consolidated Board Duty Set proposal (v0.1, illustrative draft)</w:t>
      </w:r>
    </w:p>
    <w:p>
      <w:pPr>
        <w:spacing w:after="120"/>
      </w:pPr>
      <w:r>
        <w:rPr>
          <w:rFonts w:ascii="Arial" w:cs="Arial" w:eastAsia="Arial" w:hAnsi="Arial"/>
          <w:b/>
          <w:bCs/>
        </w:rPr>
        <w:t xml:space="preserve">What this is. </w:t>
      </w:r>
      <w:r>
        <w:rPr>
          <w:rFonts w:ascii="Arial" w:cs="Arial" w:eastAsia="Arial" w:hAnsi="Arial"/>
        </w:rPr>
        <w:t xml:space="preserve">Every consolidation lever identified across the full 227-statement corpus — 31 in all — ordered by legal feasibility using the inventory's own tiering principle: guidance actions first, statutory questions last. Each entry names the reform, its classified effect on current law, the transformation operations that implement it, the agencies with authority to act, and the legal instrument required. Every entry traces to an evidence package in the project repository.</w:t>
      </w:r>
    </w:p>
    <w:p>
      <w:pPr>
        <w:spacing w:after="120"/>
      </w:pPr>
      <w:r>
        <w:rPr>
          <w:rFonts w:ascii="Arial" w:cs="Arial" w:eastAsia="Arial" w:hAnsi="Arial"/>
          <w:b/>
          <w:bCs/>
        </w:rPr>
        <w:t xml:space="preserve">How to use it. </w:t>
      </w:r>
      <w:r>
        <w:rPr>
          <w:rFonts w:ascii="Arial" w:cs="Arial" w:eastAsia="Arial" w:hAnsi="Arial"/>
        </w:rPr>
        <w:t xml:space="preserve">Read a tier as a work program: Tier 1–2 items are achievable through guidance actions and interagency statements; Tier 3 requires rulemaking; Tier 5 is the structural prize (holding-company/bank reliance); Tier 6 lists what is deliberately not consolidated. Effect classifications are the honesty device: an entry marked “change” alters someone’s legal position and requires the stated lawful pathway — nothing is smuggled in as housekeeping.</w:t>
      </w:r>
    </w:p>
    <w:p>
      <w:pPr>
        <w:pStyle w:val="Heading1"/>
      </w:pPr>
      <w:r>
        <w:t xml:space="preserve">Tier 1 — Guidance consolidation</w:t>
      </w:r>
    </w:p>
    <w:p>
      <w:pPr>
        <w:spacing w:after="120"/>
        <w:rPr>
          <w:i/>
          <w:iCs/>
          <w:color w:val="6B7280"/>
          <w:sz w:val="19"/>
          <w:szCs w:val="19"/>
        </w:rPr>
      </w:pPr>
      <w:r>
        <w:rPr>
          <w:rFonts w:ascii="Arial" w:cs="Arial" w:eastAsia="Arial" w:hAnsi="Arial"/>
          <w:i/>
          <w:iCs/>
          <w:color w:val="6B7280"/>
          <w:sz w:val="19"/>
          <w:szCs w:val="19"/>
        </w:rPr>
        <w:t xml:space="preserve">Lowest legal cost: single-agency guidance actions with conforming notes. Do first.</w:t>
      </w:r>
    </w:p>
    <w:p>
      <w:pPr>
        <w:spacing w:after="30" w:before="100"/>
      </w:pPr>
      <w:r>
        <w:rPr>
          <w:rFonts w:ascii="Arial" w:cs="Arial" w:eastAsia="Arial" w:hAnsi="Arial"/>
          <w:b/>
          <w:bCs/>
          <w:color w:val="1F3864"/>
        </w:rPr>
        <w:t xml:space="preserve">Capital planning &amp; stress testing — </w:t>
      </w:r>
      <w:r>
        <w:rPr>
          <w:rFonts w:ascii="Arial" w:cs="Arial" w:eastAsia="Arial" w:hAnsi="Arial"/>
          <w:b/>
          <w:bCs/>
        </w:rPr>
        <w:t xml:space="preserve">Separate board capital-action decisions from technical methodology reporting</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clarify   </w:t>
      </w:r>
      <w:r>
        <w:rPr>
          <w:rFonts w:ascii="Arial" w:cs="Arial" w:eastAsia="Arial" w:hAnsi="Arial"/>
          <w:b/>
          <w:bCs/>
          <w:sz w:val="19"/>
          <w:szCs w:val="19"/>
        </w:rPr>
        <w:t xml:space="preserve">Operations: </w:t>
      </w:r>
      <w:r>
        <w:rPr>
          <w:rFonts w:ascii="Arial" w:cs="Arial" w:eastAsia="Arial" w:hAnsi="Arial"/>
          <w:sz w:val="19"/>
          <w:szCs w:val="19"/>
        </w:rPr>
        <w:t xml:space="preserve">SPLIT + ASSIGN_DUTY_PARAMETER + ASSIGN_DUTY_PARAMETER + RESOLVE_CROSS_REFERENCE + REPEAL   </w:t>
      </w:r>
      <w:r>
        <w:rPr>
          <w:rFonts w:ascii="Arial" w:cs="Arial" w:eastAsia="Arial" w:hAnsi="Arial"/>
          <w:b/>
          <w:bCs/>
          <w:sz w:val="19"/>
          <w:szCs w:val="19"/>
        </w:rPr>
        <w:t xml:space="preserve">Who acts: </w:t>
      </w:r>
      <w:r>
        <w:rPr>
          <w:rFonts w:ascii="Arial" w:cs="Arial" w:eastAsia="Arial" w:hAnsi="Arial"/>
          <w:sz w:val="19"/>
          <w:szCs w:val="19"/>
        </w:rPr>
        <w:t xml:space="preserve">FRB   </w:t>
      </w:r>
      <w:r>
        <w:rPr>
          <w:rFonts w:ascii="Arial" w:cs="Arial" w:eastAsia="Arial" w:hAnsi="Arial"/>
          <w:b/>
          <w:bCs/>
          <w:sz w:val="19"/>
          <w:szCs w:val="19"/>
        </w:rPr>
        <w:t xml:space="preserve">Instrument: </w:t>
      </w:r>
      <w:r>
        <w:rPr>
          <w:rFonts w:ascii="Arial" w:cs="Arial" w:eastAsia="Arial" w:hAnsi="Arial"/>
          <w:sz w:val="19"/>
          <w:szCs w:val="19"/>
        </w:rPr>
        <w:t xml:space="preserve">guidance action plus conforming rule note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pStyle w:val="Heading1"/>
      </w:pPr>
      <w:r>
        <w:t xml:space="preserve">Tier 2 — Guidance retirement &amp; interagency coordination</w:t>
      </w:r>
    </w:p>
    <w:p>
      <w:pPr>
        <w:spacing w:after="120"/>
        <w:rPr>
          <w:i/>
          <w:iCs/>
          <w:color w:val="6B7280"/>
          <w:sz w:val="19"/>
          <w:szCs w:val="19"/>
        </w:rPr>
      </w:pPr>
      <w:r>
        <w:rPr>
          <w:rFonts w:ascii="Arial" w:cs="Arial" w:eastAsia="Arial" w:hAnsi="Arial"/>
          <w:i/>
          <w:iCs/>
          <w:color w:val="6B7280"/>
          <w:sz w:val="19"/>
          <w:szCs w:val="19"/>
        </w:rPr>
        <w:t xml:space="preserve">Interagency statements and safe harbors; no rule text changes required for most.</w:t>
      </w:r>
    </w:p>
    <w:p>
      <w:pPr>
        <w:spacing w:after="30" w:before="100"/>
      </w:pPr>
      <w:r>
        <w:rPr>
          <w:rFonts w:ascii="Arial" w:cs="Arial" w:eastAsia="Arial" w:hAnsi="Arial"/>
          <w:b/>
          <w:bCs/>
          <w:color w:val="1F3864"/>
        </w:rPr>
        <w:t xml:space="preserve">Audit committee &amp; independence — </w:t>
      </w:r>
      <w:r>
        <w:rPr>
          <w:rFonts w:ascii="Arial" w:cs="Arial" w:eastAsia="Arial" w:hAnsi="Arial"/>
          <w:b/>
          <w:bCs/>
        </w:rPr>
        <w:t xml:space="preserve">Single 'independent director' definition; one audit committee satisfies all regimes</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CANONICALIZE_DEFINITION + RELATE_OBLIGATION + DEEM_SATISFIED + RESOLVE_CROSS_REFERENCE   </w:t>
      </w:r>
      <w:r>
        <w:rPr>
          <w:rFonts w:ascii="Arial" w:cs="Arial" w:eastAsia="Arial" w:hAnsi="Arial"/>
          <w:b/>
          <w:bCs/>
          <w:sz w:val="19"/>
          <w:szCs w:val="19"/>
        </w:rPr>
        <w:t xml:space="preserve">Who acts: </w:t>
      </w:r>
      <w:r>
        <w:rPr>
          <w:rFonts w:ascii="Arial" w:cs="Arial" w:eastAsia="Arial" w:hAnsi="Arial"/>
          <w:sz w:val="19"/>
          <w:szCs w:val="19"/>
        </w:rPr>
        <w:t xml:space="preserve">FRB, OCC, FDIC, SEC   </w:t>
      </w:r>
      <w:r>
        <w:rPr>
          <w:rFonts w:ascii="Arial" w:cs="Arial" w:eastAsia="Arial" w:hAnsi="Arial"/>
          <w:b/>
          <w:bCs/>
          <w:sz w:val="19"/>
          <w:szCs w:val="19"/>
        </w:rPr>
        <w:t xml:space="preserve">Instrument: </w:t>
      </w:r>
      <w:r>
        <w:rPr>
          <w:rFonts w:ascii="Arial" w:cs="Arial" w:eastAsia="Arial" w:hAnsi="Arial"/>
          <w:sz w:val="19"/>
          <w:szCs w:val="19"/>
        </w:rPr>
        <w:t xml:space="preserve">interagency statement plus SEC coordination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Board self-assessment / effectiveness — </w:t>
      </w:r>
      <w:r>
        <w:rPr>
          <w:rFonts w:ascii="Arial" w:cs="Arial" w:eastAsia="Arial" w:hAnsi="Arial"/>
          <w:b/>
          <w:bCs/>
        </w:rPr>
        <w:t xml:space="preserve">Single interagency board-effectiveness assessment.</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consolidation   </w:t>
      </w:r>
      <w:r>
        <w:rPr>
          <w:rFonts w:ascii="Arial" w:cs="Arial" w:eastAsia="Arial" w:hAnsi="Arial"/>
          <w:b/>
          <w:bCs/>
          <w:sz w:val="19"/>
          <w:szCs w:val="19"/>
        </w:rPr>
        <w:t xml:space="preserve">Who acts: </w:t>
      </w:r>
      <w:r>
        <w:rPr>
          <w:rFonts w:ascii="Arial" w:cs="Arial" w:eastAsia="Arial" w:hAnsi="Arial"/>
          <w:sz w:val="19"/>
          <w:szCs w:val="19"/>
        </w:rPr>
        <w:t xml:space="preserve">FRB, OCC   </w:t>
      </w:r>
      <w:r>
        <w:rPr>
          <w:rFonts w:ascii="Arial" w:cs="Arial" w:eastAsia="Arial" w:hAnsi="Arial"/>
          <w:b/>
          <w:bCs/>
          <w:sz w:val="19"/>
          <w:szCs w:val="19"/>
        </w:rPr>
        <w:t xml:space="preserve">Instrument: </w:t>
      </w:r>
      <w:r>
        <w:rPr>
          <w:rFonts w:ascii="Arial" w:cs="Arial" w:eastAsia="Arial" w:hAnsi="Arial"/>
          <w:sz w:val="19"/>
          <w:szCs w:val="19"/>
        </w:rPr>
        <w:t xml:space="preserve">interagency statement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Director independence (cross-cutting) — </w:t>
      </w:r>
      <w:r>
        <w:rPr>
          <w:rFonts w:ascii="Arial" w:cs="Arial" w:eastAsia="Arial" w:hAnsi="Arial"/>
          <w:b/>
          <w:bCs/>
        </w:rPr>
        <w:t xml:space="preserve">Single cross-referenced prudential independence definition.</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single:CANONICALIZE_DEFINITION   </w:t>
      </w:r>
      <w:r>
        <w:rPr>
          <w:rFonts w:ascii="Arial" w:cs="Arial" w:eastAsia="Arial" w:hAnsi="Arial"/>
          <w:b/>
          <w:bCs/>
          <w:sz w:val="19"/>
          <w:szCs w:val="19"/>
        </w:rPr>
        <w:t xml:space="preserve">Who acts: </w:t>
      </w:r>
      <w:r>
        <w:rPr>
          <w:rFonts w:ascii="Arial" w:cs="Arial" w:eastAsia="Arial" w:hAnsi="Arial"/>
          <w:sz w:val="19"/>
          <w:szCs w:val="19"/>
        </w:rPr>
        <w:t xml:space="preserve">FRB, OCC, FDIC, SEC   </w:t>
      </w:r>
      <w:r>
        <w:rPr>
          <w:rFonts w:ascii="Arial" w:cs="Arial" w:eastAsia="Arial" w:hAnsi="Arial"/>
          <w:b/>
          <w:bCs/>
          <w:sz w:val="19"/>
          <w:szCs w:val="19"/>
        </w:rPr>
        <w:t xml:space="preserve">Instrument: </w:t>
      </w:r>
      <w:r>
        <w:rPr>
          <w:rFonts w:ascii="Arial" w:cs="Arial" w:eastAsia="Arial" w:hAnsi="Arial"/>
          <w:sz w:val="19"/>
          <w:szCs w:val="19"/>
        </w:rPr>
        <w:t xml:space="preserve">interagency statement   </w:t>
      </w:r>
      <w:r>
        <w:rPr>
          <w:rFonts w:ascii="Arial" w:cs="Arial" w:eastAsia="Arial" w:hAnsi="Arial"/>
          <w:b/>
          <w:bCs/>
          <w:sz w:val="19"/>
          <w:szCs w:val="19"/>
        </w:rPr>
        <w:t xml:space="preserve">Status: </w:t>
      </w:r>
      <w:r>
        <w:rPr>
          <w:rFonts w:ascii="Arial" w:cs="Arial" w:eastAsia="Arial" w:hAnsi="Arial"/>
          <w:sz w:val="19"/>
          <w:szCs w:val="19"/>
        </w:rPr>
        <w:t xml:space="preserve">ready — single operation</w:t>
      </w:r>
    </w:p>
    <w:p>
      <w:pPr>
        <w:spacing w:after="30" w:before="100"/>
      </w:pPr>
      <w:r>
        <w:rPr>
          <w:rFonts w:ascii="Arial" w:cs="Arial" w:eastAsia="Arial" w:hAnsi="Arial"/>
          <w:b/>
          <w:bCs/>
          <w:color w:val="1F3864"/>
        </w:rPr>
        <w:t xml:space="preserve">Director training — </w:t>
      </w:r>
      <w:r>
        <w:rPr>
          <w:rFonts w:ascii="Arial" w:cs="Arial" w:eastAsia="Arial" w:hAnsi="Arial"/>
          <w:b/>
          <w:bCs/>
        </w:rPr>
        <w:t xml:space="preserve">One consolidated director-training program covering all topics.</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composition   </w:t>
      </w:r>
      <w:r>
        <w:rPr>
          <w:rFonts w:ascii="Arial" w:cs="Arial" w:eastAsia="Arial" w:hAnsi="Arial"/>
          <w:b/>
          <w:bCs/>
          <w:sz w:val="19"/>
          <w:szCs w:val="19"/>
        </w:rPr>
        <w:t xml:space="preserve">Who acts: </w:t>
      </w:r>
      <w:r>
        <w:rPr>
          <w:rFonts w:ascii="Arial" w:cs="Arial" w:eastAsia="Arial" w:hAnsi="Arial"/>
          <w:sz w:val="19"/>
          <w:szCs w:val="19"/>
        </w:rPr>
        <w:t xml:space="preserve">FRB, OCC, FDIC, FinCEN   </w:t>
      </w:r>
      <w:r>
        <w:rPr>
          <w:rFonts w:ascii="Arial" w:cs="Arial" w:eastAsia="Arial" w:hAnsi="Arial"/>
          <w:b/>
          <w:bCs/>
          <w:sz w:val="19"/>
          <w:szCs w:val="19"/>
        </w:rPr>
        <w:t xml:space="preserve">Instrument: </w:t>
      </w:r>
      <w:r>
        <w:rPr>
          <w:rFonts w:ascii="Arial" w:cs="Arial" w:eastAsia="Arial" w:hAnsi="Arial"/>
          <w:sz w:val="19"/>
          <w:szCs w:val="19"/>
        </w:rPr>
        <w:t xml:space="preserve">interagency statement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Insider / affiliate / related-party — </w:t>
      </w:r>
      <w:r>
        <w:rPr>
          <w:rFonts w:ascii="Arial" w:cs="Arial" w:eastAsia="Arial" w:hAnsi="Arial"/>
          <w:b/>
          <w:bCs/>
        </w:rPr>
        <w:t xml:space="preserve">Coordinate related-party review processes.</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n/a (non-target or open)   </w:t>
      </w:r>
      <w:r>
        <w:rPr>
          <w:rFonts w:ascii="Arial" w:cs="Arial" w:eastAsia="Arial" w:hAnsi="Arial"/>
          <w:b/>
          <w:bCs/>
          <w:sz w:val="19"/>
          <w:szCs w:val="19"/>
        </w:rPr>
        <w:t xml:space="preserve">Who acts: </w:t>
      </w:r>
      <w:r>
        <w:rPr>
          <w:rFonts w:ascii="Arial" w:cs="Arial" w:eastAsia="Arial" w:hAnsi="Arial"/>
          <w:sz w:val="19"/>
          <w:szCs w:val="19"/>
        </w:rPr>
        <w:t xml:space="preserve">FRB, SEC   </w:t>
      </w:r>
      <w:r>
        <w:rPr>
          <w:rFonts w:ascii="Arial" w:cs="Arial" w:eastAsia="Arial" w:hAnsi="Arial"/>
          <w:b/>
          <w:bCs/>
          <w:sz w:val="19"/>
          <w:szCs w:val="19"/>
        </w:rPr>
        <w:t xml:space="preserve">Instrument: </w:t>
      </w:r>
      <w:r>
        <w:rPr>
          <w:rFonts w:ascii="Arial" w:cs="Arial" w:eastAsia="Arial" w:hAnsi="Arial"/>
          <w:sz w:val="19"/>
          <w:szCs w:val="19"/>
        </w:rPr>
        <w:t xml:space="preserve">interagency statement   </w:t>
      </w:r>
      <w:r>
        <w:rPr>
          <w:rFonts w:ascii="Arial" w:cs="Arial" w:eastAsia="Arial" w:hAnsi="Arial"/>
          <w:b/>
          <w:bCs/>
          <w:sz w:val="19"/>
          <w:szCs w:val="19"/>
        </w:rPr>
        <w:t xml:space="preserve">Status: </w:t>
      </w:r>
      <w:r>
        <w:rPr>
          <w:rFonts w:ascii="Arial" w:cs="Arial" w:eastAsia="Arial" w:hAnsi="Arial"/>
          <w:sz w:val="19"/>
          <w:szCs w:val="19"/>
        </w:rPr>
        <w:t xml:space="preserve">non-target (retain / coordinate)</w:t>
      </w:r>
    </w:p>
    <w:p>
      <w:pPr>
        <w:spacing w:after="30" w:before="100"/>
      </w:pPr>
      <w:r>
        <w:rPr>
          <w:rFonts w:ascii="Arial" w:cs="Arial" w:eastAsia="Arial" w:hAnsi="Arial"/>
          <w:b/>
          <w:bCs/>
          <w:color w:val="1F3864"/>
        </w:rPr>
        <w:t xml:space="preserve">Liquidity risk management — </w:t>
      </w:r>
      <w:r>
        <w:rPr>
          <w:rFonts w:ascii="Arial" w:cs="Arial" w:eastAsia="Arial" w:hAnsi="Arial"/>
          <w:b/>
          <w:bCs/>
        </w:rPr>
        <w:t xml:space="preserve">One board liquidity approval satisfies rule and guidance.</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single:DEEM_SATISFIED   </w:t>
      </w:r>
      <w:r>
        <w:rPr>
          <w:rFonts w:ascii="Arial" w:cs="Arial" w:eastAsia="Arial" w:hAnsi="Arial"/>
          <w:b/>
          <w:bCs/>
          <w:sz w:val="19"/>
          <w:szCs w:val="19"/>
        </w:rPr>
        <w:t xml:space="preserve">Who acts: </w:t>
      </w:r>
      <w:r>
        <w:rPr>
          <w:rFonts w:ascii="Arial" w:cs="Arial" w:eastAsia="Arial" w:hAnsi="Arial"/>
          <w:sz w:val="19"/>
          <w:szCs w:val="19"/>
        </w:rPr>
        <w:t xml:space="preserve">FRB, OCC   </w:t>
      </w:r>
      <w:r>
        <w:rPr>
          <w:rFonts w:ascii="Arial" w:cs="Arial" w:eastAsia="Arial" w:hAnsi="Arial"/>
          <w:b/>
          <w:bCs/>
          <w:sz w:val="19"/>
          <w:szCs w:val="19"/>
        </w:rPr>
        <w:t xml:space="preserve">Instrument: </w:t>
      </w:r>
      <w:r>
        <w:rPr>
          <w:rFonts w:ascii="Arial" w:cs="Arial" w:eastAsia="Arial" w:hAnsi="Arial"/>
          <w:sz w:val="19"/>
          <w:szCs w:val="19"/>
        </w:rPr>
        <w:t xml:space="preserve">interagency statement   </w:t>
      </w:r>
      <w:r>
        <w:rPr>
          <w:rFonts w:ascii="Arial" w:cs="Arial" w:eastAsia="Arial" w:hAnsi="Arial"/>
          <w:b/>
          <w:bCs/>
          <w:sz w:val="19"/>
          <w:szCs w:val="19"/>
        </w:rPr>
        <w:t xml:space="preserve">Status: </w:t>
      </w:r>
      <w:r>
        <w:rPr>
          <w:rFonts w:ascii="Arial" w:cs="Arial" w:eastAsia="Arial" w:hAnsi="Arial"/>
          <w:sz w:val="19"/>
          <w:szCs w:val="19"/>
        </w:rPr>
        <w:t xml:space="preserve">ready — single operation</w:t>
      </w:r>
    </w:p>
    <w:p>
      <w:pPr>
        <w:spacing w:after="30" w:before="100"/>
      </w:pPr>
      <w:r>
        <w:rPr>
          <w:rFonts w:ascii="Arial" w:cs="Arial" w:eastAsia="Arial" w:hAnsi="Arial"/>
          <w:b/>
          <w:bCs/>
          <w:color w:val="1F3864"/>
        </w:rPr>
        <w:t xml:space="preserve">Risk appetite statement — </w:t>
      </w:r>
      <w:r>
        <w:rPr>
          <w:rFonts w:ascii="Arial" w:cs="Arial" w:eastAsia="Arial" w:hAnsi="Arial"/>
          <w:b/>
          <w:bCs/>
        </w:rPr>
        <w:t xml:space="preserve">Interagency risk-appetite template + safe harbor that one board-approved statement satisfies all.</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safe_harbor_template   </w:t>
      </w:r>
      <w:r>
        <w:rPr>
          <w:rFonts w:ascii="Arial" w:cs="Arial" w:eastAsia="Arial" w:hAnsi="Arial"/>
          <w:b/>
          <w:bCs/>
          <w:sz w:val="19"/>
          <w:szCs w:val="19"/>
        </w:rPr>
        <w:t xml:space="preserve">Who acts: </w:t>
      </w:r>
      <w:r>
        <w:rPr>
          <w:rFonts w:ascii="Arial" w:cs="Arial" w:eastAsia="Arial" w:hAnsi="Arial"/>
          <w:sz w:val="19"/>
          <w:szCs w:val="19"/>
        </w:rPr>
        <w:t xml:space="preserve">FRB, OCC   </w:t>
      </w:r>
      <w:r>
        <w:rPr>
          <w:rFonts w:ascii="Arial" w:cs="Arial" w:eastAsia="Arial" w:hAnsi="Arial"/>
          <w:b/>
          <w:bCs/>
          <w:sz w:val="19"/>
          <w:szCs w:val="19"/>
        </w:rPr>
        <w:t xml:space="preserve">Instrument: </w:t>
      </w:r>
      <w:r>
        <w:rPr>
          <w:rFonts w:ascii="Arial" w:cs="Arial" w:eastAsia="Arial" w:hAnsi="Arial"/>
          <w:sz w:val="19"/>
          <w:szCs w:val="19"/>
        </w:rPr>
        <w:t xml:space="preserve">interagency statement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Risk-governance framework / strategy — </w:t>
      </w:r>
      <w:r>
        <w:rPr>
          <w:rFonts w:ascii="Arial" w:cs="Arial" w:eastAsia="Arial" w:hAnsi="Arial"/>
          <w:b/>
          <w:bCs/>
        </w:rPr>
        <w:t xml:space="preserve">One enterprise framework approval with an IDI addendum (expanded App. D reliance accommodation)</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RELATE_OBLIGATION + DEEM_SATISFIED + FACTOR_EXCEPTION + RESOLVE_CROSS_REFERENCE   </w:t>
      </w:r>
      <w:r>
        <w:rPr>
          <w:rFonts w:ascii="Arial" w:cs="Arial" w:eastAsia="Arial" w:hAnsi="Arial"/>
          <w:b/>
          <w:bCs/>
          <w:sz w:val="19"/>
          <w:szCs w:val="19"/>
        </w:rPr>
        <w:t xml:space="preserve">Who acts: </w:t>
      </w:r>
      <w:r>
        <w:rPr>
          <w:rFonts w:ascii="Arial" w:cs="Arial" w:eastAsia="Arial" w:hAnsi="Arial"/>
          <w:sz w:val="19"/>
          <w:szCs w:val="19"/>
        </w:rPr>
        <w:t xml:space="preserve">FRB, OCC   </w:t>
      </w:r>
      <w:r>
        <w:rPr>
          <w:rFonts w:ascii="Arial" w:cs="Arial" w:eastAsia="Arial" w:hAnsi="Arial"/>
          <w:b/>
          <w:bCs/>
          <w:sz w:val="19"/>
          <w:szCs w:val="19"/>
        </w:rPr>
        <w:t xml:space="preserve">Instrument: </w:t>
      </w:r>
      <w:r>
        <w:rPr>
          <w:rFonts w:ascii="Arial" w:cs="Arial" w:eastAsia="Arial" w:hAnsi="Arial"/>
          <w:sz w:val="19"/>
          <w:szCs w:val="19"/>
        </w:rPr>
        <w:t xml:space="preserve">interagency statement plus rule safe harbor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Risk-governance framework / strategy — </w:t>
      </w:r>
      <w:r>
        <w:rPr>
          <w:rFonts w:ascii="Arial" w:cs="Arial" w:eastAsia="Arial" w:hAnsi="Arial"/>
          <w:b/>
          <w:bCs/>
        </w:rPr>
        <w:t xml:space="preserve">Single interagency board-effectiveness assessment</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codify   </w:t>
      </w:r>
      <w:r>
        <w:rPr>
          <w:rFonts w:ascii="Arial" w:cs="Arial" w:eastAsia="Arial" w:hAnsi="Arial"/>
          <w:b/>
          <w:bCs/>
          <w:sz w:val="19"/>
          <w:szCs w:val="19"/>
        </w:rPr>
        <w:t xml:space="preserve">Operations: </w:t>
      </w:r>
      <w:r>
        <w:rPr>
          <w:rFonts w:ascii="Arial" w:cs="Arial" w:eastAsia="Arial" w:hAnsi="Arial"/>
          <w:sz w:val="19"/>
          <w:szCs w:val="19"/>
        </w:rPr>
        <w:t xml:space="preserve">MERGE + RESOLVE_CROSS_REFERENCE   </w:t>
      </w:r>
      <w:r>
        <w:rPr>
          <w:rFonts w:ascii="Arial" w:cs="Arial" w:eastAsia="Arial" w:hAnsi="Arial"/>
          <w:b/>
          <w:bCs/>
          <w:sz w:val="19"/>
          <w:szCs w:val="19"/>
        </w:rPr>
        <w:t xml:space="preserve">Who acts: </w:t>
      </w:r>
      <w:r>
        <w:rPr>
          <w:rFonts w:ascii="Arial" w:cs="Arial" w:eastAsia="Arial" w:hAnsi="Arial"/>
          <w:sz w:val="19"/>
          <w:szCs w:val="19"/>
        </w:rPr>
        <w:t xml:space="preserve">FRB, OCC   </w:t>
      </w:r>
      <w:r>
        <w:rPr>
          <w:rFonts w:ascii="Arial" w:cs="Arial" w:eastAsia="Arial" w:hAnsi="Arial"/>
          <w:b/>
          <w:bCs/>
          <w:sz w:val="19"/>
          <w:szCs w:val="19"/>
        </w:rPr>
        <w:t xml:space="preserve">Instrument: </w:t>
      </w:r>
      <w:r>
        <w:rPr>
          <w:rFonts w:ascii="Arial" w:cs="Arial" w:eastAsia="Arial" w:hAnsi="Arial"/>
          <w:sz w:val="19"/>
          <w:szCs w:val="19"/>
        </w:rPr>
        <w:t xml:space="preserve">joint statement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Third-party risk management — </w:t>
      </w:r>
      <w:r>
        <w:rPr>
          <w:rFonts w:ascii="Arial" w:cs="Arial" w:eastAsia="Arial" w:hAnsi="Arial"/>
          <w:b/>
          <w:bCs/>
        </w:rPr>
        <w:t xml:space="preserve">Quantitative 'critical activity' threshold for board attention; management approval + aggregate reporting otherwise.</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clarify   </w:t>
      </w:r>
      <w:r>
        <w:rPr>
          <w:rFonts w:ascii="Arial" w:cs="Arial" w:eastAsia="Arial" w:hAnsi="Arial"/>
          <w:b/>
          <w:bCs/>
          <w:sz w:val="19"/>
          <w:szCs w:val="19"/>
        </w:rPr>
        <w:t xml:space="preserve">Operations: </w:t>
      </w:r>
      <w:r>
        <w:rPr>
          <w:rFonts w:ascii="Arial" w:cs="Arial" w:eastAsia="Arial" w:hAnsi="Arial"/>
          <w:sz w:val="19"/>
          <w:szCs w:val="19"/>
        </w:rPr>
        <w:t xml:space="preserve">composition   </w:t>
      </w:r>
      <w:r>
        <w:rPr>
          <w:rFonts w:ascii="Arial" w:cs="Arial" w:eastAsia="Arial" w:hAnsi="Arial"/>
          <w:b/>
          <w:bCs/>
          <w:sz w:val="19"/>
          <w:szCs w:val="19"/>
        </w:rPr>
        <w:t xml:space="preserve">Who acts: </w:t>
      </w:r>
      <w:r>
        <w:rPr>
          <w:rFonts w:ascii="Arial" w:cs="Arial" w:eastAsia="Arial" w:hAnsi="Arial"/>
          <w:sz w:val="19"/>
          <w:szCs w:val="19"/>
        </w:rPr>
        <w:t xml:space="preserve">FRB, OCC, FDIC   </w:t>
      </w:r>
      <w:r>
        <w:rPr>
          <w:rFonts w:ascii="Arial" w:cs="Arial" w:eastAsia="Arial" w:hAnsi="Arial"/>
          <w:b/>
          <w:bCs/>
          <w:sz w:val="19"/>
          <w:szCs w:val="19"/>
        </w:rPr>
        <w:t xml:space="preserve">Instrument: </w:t>
      </w:r>
      <w:r>
        <w:rPr>
          <w:rFonts w:ascii="Arial" w:cs="Arial" w:eastAsia="Arial" w:hAnsi="Arial"/>
          <w:sz w:val="19"/>
          <w:szCs w:val="19"/>
        </w:rPr>
        <w:t xml:space="preserve">interagency statement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pStyle w:val="Heading1"/>
      </w:pPr>
      <w:r>
        <w:t xml:space="preserve">Tier 3 — Rule harmonization</w:t>
      </w:r>
    </w:p>
    <w:p>
      <w:pPr>
        <w:spacing w:after="120"/>
        <w:rPr>
          <w:i/>
          <w:iCs/>
          <w:color w:val="6B7280"/>
          <w:sz w:val="19"/>
          <w:szCs w:val="19"/>
        </w:rPr>
      </w:pPr>
      <w:r>
        <w:rPr>
          <w:rFonts w:ascii="Arial" w:cs="Arial" w:eastAsia="Arial" w:hAnsi="Arial"/>
          <w:i/>
          <w:iCs/>
          <w:color w:val="6B7280"/>
          <w:sz w:val="19"/>
          <w:szCs w:val="19"/>
        </w:rPr>
        <w:t xml:space="preserve">Notice-and-comment rulemaking, mostly joint. Larger burden relief, longer path.</w:t>
      </w:r>
    </w:p>
    <w:p>
      <w:pPr>
        <w:spacing w:after="30" w:before="100"/>
      </w:pPr>
      <w:r>
        <w:rPr>
          <w:rFonts w:ascii="Arial" w:cs="Arial" w:eastAsia="Arial" w:hAnsi="Arial"/>
          <w:b/>
          <w:bCs/>
          <w:color w:val="1F3864"/>
        </w:rPr>
        <w:t xml:space="preserve">BSA/AML program — </w:t>
      </w:r>
      <w:r>
        <w:rPr>
          <w:rFonts w:ascii="Arial" w:cs="Arial" w:eastAsia="Arial" w:hAnsi="Arial"/>
          <w:b/>
          <w:bCs/>
        </w:rPr>
        <w:t xml:space="preserve">Cross-reference manual to the rule; avoid restating. v2.1: resolve the two unreconciled pending rewrites (2024 proposals add a freestanding board-oversight standard + annual ratification; 2026 proposals permit approval by the board, an equivalent body, or senior management) before they compound the layering.</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n/a (non-target or open)   </w:t>
      </w:r>
      <w:r>
        <w:rPr>
          <w:rFonts w:ascii="Arial" w:cs="Arial" w:eastAsia="Arial" w:hAnsi="Arial"/>
          <w:b/>
          <w:bCs/>
          <w:sz w:val="19"/>
          <w:szCs w:val="19"/>
        </w:rPr>
        <w:t xml:space="preserve">Who acts: </w:t>
      </w:r>
      <w:r>
        <w:rPr>
          <w:rFonts w:ascii="Arial" w:cs="Arial" w:eastAsia="Arial" w:hAnsi="Arial"/>
          <w:sz w:val="19"/>
          <w:szCs w:val="19"/>
        </w:rPr>
        <w:t xml:space="preserve">FinCEN, FRB, OCC, FDIC   </w:t>
      </w:r>
      <w:r>
        <w:rPr>
          <w:rFonts w:ascii="Arial" w:cs="Arial" w:eastAsia="Arial" w:hAnsi="Arial"/>
          <w:b/>
          <w:bCs/>
          <w:sz w:val="19"/>
          <w:szCs w:val="19"/>
        </w:rPr>
        <w:t xml:space="preserve">Instrument: </w:t>
      </w:r>
      <w:r>
        <w:rPr>
          <w:rFonts w:ascii="Arial" w:cs="Arial" w:eastAsia="Arial" w:hAnsi="Arial"/>
          <w:sz w:val="19"/>
          <w:szCs w:val="19"/>
        </w:rPr>
        <w:t xml:space="preserve">rule apa   </w:t>
      </w:r>
      <w:r>
        <w:rPr>
          <w:rFonts w:ascii="Arial" w:cs="Arial" w:eastAsia="Arial" w:hAnsi="Arial"/>
          <w:b/>
          <w:bCs/>
          <w:sz w:val="19"/>
          <w:szCs w:val="19"/>
        </w:rPr>
        <w:t xml:space="preserve">Status: </w:t>
      </w:r>
      <w:r>
        <w:rPr>
          <w:rFonts w:ascii="Arial" w:cs="Arial" w:eastAsia="Arial" w:hAnsi="Arial"/>
          <w:sz w:val="19"/>
          <w:szCs w:val="19"/>
        </w:rPr>
        <w:t xml:space="preserve">non-target (retain / coordinate)</w:t>
      </w:r>
    </w:p>
    <w:p>
      <w:pPr>
        <w:spacing w:after="30" w:before="100"/>
      </w:pPr>
      <w:r>
        <w:rPr>
          <w:rFonts w:ascii="Arial" w:cs="Arial" w:eastAsia="Arial" w:hAnsi="Arial"/>
          <w:b/>
          <w:bCs/>
          <w:color w:val="1F3864"/>
        </w:rPr>
        <w:t xml:space="preserve">CRO / CRE appointment &amp; compensation — </w:t>
      </w:r>
      <w:r>
        <w:rPr>
          <w:rFonts w:ascii="Arial" w:cs="Arial" w:eastAsia="Arial" w:hAnsi="Arial"/>
          <w:b/>
          <w:bCs/>
        </w:rPr>
        <w:t xml:space="preserve">Consolidate into Reg YY; OCC incorporates by reference.</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clarify   </w:t>
      </w:r>
      <w:r>
        <w:rPr>
          <w:rFonts w:ascii="Arial" w:cs="Arial" w:eastAsia="Arial" w:hAnsi="Arial"/>
          <w:b/>
          <w:bCs/>
          <w:sz w:val="19"/>
          <w:szCs w:val="19"/>
        </w:rPr>
        <w:t xml:space="preserve">Operations: </w:t>
      </w:r>
      <w:r>
        <w:rPr>
          <w:rFonts w:ascii="Arial" w:cs="Arial" w:eastAsia="Arial" w:hAnsi="Arial"/>
          <w:sz w:val="19"/>
          <w:szCs w:val="19"/>
        </w:rPr>
        <w:t xml:space="preserve">composition   </w:t>
      </w:r>
      <w:r>
        <w:rPr>
          <w:rFonts w:ascii="Arial" w:cs="Arial" w:eastAsia="Arial" w:hAnsi="Arial"/>
          <w:b/>
          <w:bCs/>
          <w:sz w:val="19"/>
          <w:szCs w:val="19"/>
        </w:rPr>
        <w:t xml:space="preserve">Who acts: </w:t>
      </w:r>
      <w:r>
        <w:rPr>
          <w:rFonts w:ascii="Arial" w:cs="Arial" w:eastAsia="Arial" w:hAnsi="Arial"/>
          <w:sz w:val="19"/>
          <w:szCs w:val="19"/>
        </w:rPr>
        <w:t xml:space="preserve">FRB, OCC   </w:t>
      </w:r>
      <w:r>
        <w:rPr>
          <w:rFonts w:ascii="Arial" w:cs="Arial" w:eastAsia="Arial" w:hAnsi="Arial"/>
          <w:b/>
          <w:bCs/>
          <w:sz w:val="19"/>
          <w:szCs w:val="19"/>
        </w:rPr>
        <w:t xml:space="preserve">Instrument: </w:t>
      </w:r>
      <w:r>
        <w:rPr>
          <w:rFonts w:ascii="Arial" w:cs="Arial" w:eastAsia="Arial" w:hAnsi="Arial"/>
          <w:sz w:val="19"/>
          <w:szCs w:val="19"/>
        </w:rPr>
        <w:t xml:space="preserve">joint rulemaking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Credit risk governance — </w:t>
      </w:r>
      <w:r>
        <w:rPr>
          <w:rFonts w:ascii="Arial" w:cs="Arial" w:eastAsia="Arial" w:hAnsi="Arial"/>
          <w:b/>
          <w:bCs/>
        </w:rPr>
        <w:t xml:space="preserve">One interagency real-estate-lending standard; fold ACL/credit-review into the risk-committee credit cycle.</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consolidation   </w:t>
      </w:r>
      <w:r>
        <w:rPr>
          <w:rFonts w:ascii="Arial" w:cs="Arial" w:eastAsia="Arial" w:hAnsi="Arial"/>
          <w:b/>
          <w:bCs/>
          <w:sz w:val="19"/>
          <w:szCs w:val="19"/>
        </w:rPr>
        <w:t xml:space="preserve">Who acts: </w:t>
      </w:r>
      <w:r>
        <w:rPr>
          <w:rFonts w:ascii="Arial" w:cs="Arial" w:eastAsia="Arial" w:hAnsi="Arial"/>
          <w:sz w:val="19"/>
          <w:szCs w:val="19"/>
        </w:rPr>
        <w:t xml:space="preserve">FRB, OCC, FDIC   </w:t>
      </w:r>
      <w:r>
        <w:rPr>
          <w:rFonts w:ascii="Arial" w:cs="Arial" w:eastAsia="Arial" w:hAnsi="Arial"/>
          <w:b/>
          <w:bCs/>
          <w:sz w:val="19"/>
          <w:szCs w:val="19"/>
        </w:rPr>
        <w:t xml:space="preserve">Instrument: </w:t>
      </w:r>
      <w:r>
        <w:rPr>
          <w:rFonts w:ascii="Arial" w:cs="Arial" w:eastAsia="Arial" w:hAnsi="Arial"/>
          <w:sz w:val="19"/>
          <w:szCs w:val="19"/>
        </w:rPr>
        <w:t xml:space="preserve">joint rulemaking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Director eligibility &amp; continuity — </w:t>
      </w:r>
      <w:r>
        <w:rPr>
          <w:rFonts w:ascii="Arial" w:cs="Arial" w:eastAsia="Arial" w:hAnsi="Arial"/>
          <w:b/>
          <w:bCs/>
        </w:rPr>
        <w:t xml:space="preserve">Single interagency change-in-director notice procedure.</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consolidation   </w:t>
      </w:r>
      <w:r>
        <w:rPr>
          <w:rFonts w:ascii="Arial" w:cs="Arial" w:eastAsia="Arial" w:hAnsi="Arial"/>
          <w:b/>
          <w:bCs/>
          <w:sz w:val="19"/>
          <w:szCs w:val="19"/>
        </w:rPr>
        <w:t xml:space="preserve">Who acts: </w:t>
      </w:r>
      <w:r>
        <w:rPr>
          <w:rFonts w:ascii="Arial" w:cs="Arial" w:eastAsia="Arial" w:hAnsi="Arial"/>
          <w:sz w:val="19"/>
          <w:szCs w:val="19"/>
        </w:rPr>
        <w:t xml:space="preserve">FRB, OCC   </w:t>
      </w:r>
      <w:r>
        <w:rPr>
          <w:rFonts w:ascii="Arial" w:cs="Arial" w:eastAsia="Arial" w:hAnsi="Arial"/>
          <w:b/>
          <w:bCs/>
          <w:sz w:val="19"/>
          <w:szCs w:val="19"/>
        </w:rPr>
        <w:t xml:space="preserve">Instrument: </w:t>
      </w:r>
      <w:r>
        <w:rPr>
          <w:rFonts w:ascii="Arial" w:cs="Arial" w:eastAsia="Arial" w:hAnsi="Arial"/>
          <w:sz w:val="19"/>
          <w:szCs w:val="19"/>
        </w:rPr>
        <w:t xml:space="preserve">joint rulemaking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Fiduciary (trust) governance — </w:t>
      </w:r>
      <w:r>
        <w:rPr>
          <w:rFonts w:ascii="Arial" w:cs="Arial" w:eastAsia="Arial" w:hAnsi="Arial"/>
          <w:b/>
          <w:bCs/>
        </w:rPr>
        <w:t xml:space="preserve">Permit the §36/Part 363 audit committee to satisfy the fiduciary-audit duty where composition overlaps.</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single:DEEM_SATISFIED   </w:t>
      </w:r>
      <w:r>
        <w:rPr>
          <w:rFonts w:ascii="Arial" w:cs="Arial" w:eastAsia="Arial" w:hAnsi="Arial"/>
          <w:b/>
          <w:bCs/>
          <w:sz w:val="19"/>
          <w:szCs w:val="19"/>
        </w:rPr>
        <w:t xml:space="preserve">Who acts: </w:t>
      </w:r>
      <w:r>
        <w:rPr>
          <w:rFonts w:ascii="Arial" w:cs="Arial" w:eastAsia="Arial" w:hAnsi="Arial"/>
          <w:sz w:val="19"/>
          <w:szCs w:val="19"/>
        </w:rPr>
        <w:t xml:space="preserve">OCC   </w:t>
      </w:r>
      <w:r>
        <w:rPr>
          <w:rFonts w:ascii="Arial" w:cs="Arial" w:eastAsia="Arial" w:hAnsi="Arial"/>
          <w:b/>
          <w:bCs/>
          <w:sz w:val="19"/>
          <w:szCs w:val="19"/>
        </w:rPr>
        <w:t xml:space="preserve">Instrument: </w:t>
      </w:r>
      <w:r>
        <w:rPr>
          <w:rFonts w:ascii="Arial" w:cs="Arial" w:eastAsia="Arial" w:hAnsi="Arial"/>
          <w:sz w:val="19"/>
          <w:szCs w:val="19"/>
        </w:rPr>
        <w:t xml:space="preserve">rule apa   </w:t>
      </w:r>
      <w:r>
        <w:rPr>
          <w:rFonts w:ascii="Arial" w:cs="Arial" w:eastAsia="Arial" w:hAnsi="Arial"/>
          <w:b/>
          <w:bCs/>
          <w:sz w:val="19"/>
          <w:szCs w:val="19"/>
        </w:rPr>
        <w:t xml:space="preserve">Status: </w:t>
      </w:r>
      <w:r>
        <w:rPr>
          <w:rFonts w:ascii="Arial" w:cs="Arial" w:eastAsia="Arial" w:hAnsi="Arial"/>
          <w:sz w:val="19"/>
          <w:szCs w:val="19"/>
        </w:rPr>
        <w:t xml:space="preserve">ready — single operation</w:t>
      </w:r>
    </w:p>
    <w:p>
      <w:pPr>
        <w:spacing w:after="30" w:before="100"/>
      </w:pPr>
      <w:r>
        <w:rPr>
          <w:rFonts w:ascii="Arial" w:cs="Arial" w:eastAsia="Arial" w:hAnsi="Arial"/>
          <w:b/>
          <w:bCs/>
          <w:color w:val="1F3864"/>
        </w:rPr>
        <w:t xml:space="preserve">Information security &amp; cybersecurity — </w:t>
      </w:r>
      <w:r>
        <w:rPr>
          <w:rFonts w:ascii="Arial" w:cs="Arial" w:eastAsia="Arial" w:hAnsi="Arial"/>
          <w:b/>
          <w:bCs/>
        </w:rPr>
        <w:t xml:space="preserve">One enterprise info-security program approval; joint SEC/banking statement on cyber oversight. v2.1: the 36-hour interagency incident-notification rule and the SEC cyber-disclosure regime impose non-aligned timelines on the same incident — harmonization here is selection of a single operational standard, not deletion.</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consolidation   </w:t>
      </w:r>
      <w:r>
        <w:rPr>
          <w:rFonts w:ascii="Arial" w:cs="Arial" w:eastAsia="Arial" w:hAnsi="Arial"/>
          <w:b/>
          <w:bCs/>
          <w:sz w:val="19"/>
          <w:szCs w:val="19"/>
        </w:rPr>
        <w:t xml:space="preserve">Who acts: </w:t>
      </w:r>
      <w:r>
        <w:rPr>
          <w:rFonts w:ascii="Arial" w:cs="Arial" w:eastAsia="Arial" w:hAnsi="Arial"/>
          <w:sz w:val="19"/>
          <w:szCs w:val="19"/>
        </w:rPr>
        <w:t xml:space="preserve">FRB, OCC, FDIC, SEC   </w:t>
      </w:r>
      <w:r>
        <w:rPr>
          <w:rFonts w:ascii="Arial" w:cs="Arial" w:eastAsia="Arial" w:hAnsi="Arial"/>
          <w:b/>
          <w:bCs/>
          <w:sz w:val="19"/>
          <w:szCs w:val="19"/>
        </w:rPr>
        <w:t xml:space="preserve">Instrument: </w:t>
      </w:r>
      <w:r>
        <w:rPr>
          <w:rFonts w:ascii="Arial" w:cs="Arial" w:eastAsia="Arial" w:hAnsi="Arial"/>
          <w:sz w:val="19"/>
          <w:szCs w:val="19"/>
        </w:rPr>
        <w:t xml:space="preserve">joint rulemaking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Internal control over financial reporting — </w:t>
      </w:r>
      <w:r>
        <w:rPr>
          <w:rFonts w:ascii="Arial" w:cs="Arial" w:eastAsia="Arial" w:hAnsi="Arial"/>
          <w:b/>
          <w:bCs/>
        </w:rPr>
        <w:t xml:space="preserve">SOX 404(b) satisfies FDICIA ICFR by cross-reference; align cycles</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DEEM_SATISFIED + FACTOR_EXCEPTION + RELATE_OBLIGATION + ASSIGN_DUTY_PARAMETER   </w:t>
      </w:r>
      <w:r>
        <w:rPr>
          <w:rFonts w:ascii="Arial" w:cs="Arial" w:eastAsia="Arial" w:hAnsi="Arial"/>
          <w:b/>
          <w:bCs/>
          <w:sz w:val="19"/>
          <w:szCs w:val="19"/>
        </w:rPr>
        <w:t xml:space="preserve">Who acts: </w:t>
      </w:r>
      <w:r>
        <w:rPr>
          <w:rFonts w:ascii="Arial" w:cs="Arial" w:eastAsia="Arial" w:hAnsi="Arial"/>
          <w:sz w:val="19"/>
          <w:szCs w:val="19"/>
        </w:rPr>
        <w:t xml:space="preserve">FDIC   </w:t>
      </w:r>
      <w:r>
        <w:rPr>
          <w:rFonts w:ascii="Arial" w:cs="Arial" w:eastAsia="Arial" w:hAnsi="Arial"/>
          <w:b/>
          <w:bCs/>
          <w:sz w:val="19"/>
          <w:szCs w:val="19"/>
        </w:rPr>
        <w:t xml:space="preserve">Instrument: </w:t>
      </w:r>
      <w:r>
        <w:rPr>
          <w:rFonts w:ascii="Arial" w:cs="Arial" w:eastAsia="Arial" w:hAnsi="Arial"/>
          <w:sz w:val="19"/>
          <w:szCs w:val="19"/>
        </w:rPr>
        <w:t xml:space="preserve">rule amendment(Part 363)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Operational resilience / business continuity — </w:t>
      </w:r>
      <w:r>
        <w:rPr>
          <w:rFonts w:ascii="Arial" w:cs="Arial" w:eastAsia="Arial" w:hAnsi="Arial"/>
          <w:b/>
          <w:bCs/>
        </w:rPr>
        <w:t xml:space="preserve">Fold into the enterprise risk-appetite approval.</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codify   </w:t>
      </w:r>
      <w:r>
        <w:rPr>
          <w:rFonts w:ascii="Arial" w:cs="Arial" w:eastAsia="Arial" w:hAnsi="Arial"/>
          <w:b/>
          <w:bCs/>
          <w:sz w:val="19"/>
          <w:szCs w:val="19"/>
        </w:rPr>
        <w:t xml:space="preserve">Operations: </w:t>
      </w:r>
      <w:r>
        <w:rPr>
          <w:rFonts w:ascii="Arial" w:cs="Arial" w:eastAsia="Arial" w:hAnsi="Arial"/>
          <w:sz w:val="19"/>
          <w:szCs w:val="19"/>
        </w:rPr>
        <w:t xml:space="preserve">single:ELEVATE_GENERAL_RULE   </w:t>
      </w:r>
      <w:r>
        <w:rPr>
          <w:rFonts w:ascii="Arial" w:cs="Arial" w:eastAsia="Arial" w:hAnsi="Arial"/>
          <w:b/>
          <w:bCs/>
          <w:sz w:val="19"/>
          <w:szCs w:val="19"/>
        </w:rPr>
        <w:t xml:space="preserve">Who acts: </w:t>
      </w:r>
      <w:r>
        <w:rPr>
          <w:rFonts w:ascii="Arial" w:cs="Arial" w:eastAsia="Arial" w:hAnsi="Arial"/>
          <w:sz w:val="19"/>
          <w:szCs w:val="19"/>
        </w:rPr>
        <w:t xml:space="preserve">FRB, OCC   </w:t>
      </w:r>
      <w:r>
        <w:rPr>
          <w:rFonts w:ascii="Arial" w:cs="Arial" w:eastAsia="Arial" w:hAnsi="Arial"/>
          <w:b/>
          <w:bCs/>
          <w:sz w:val="19"/>
          <w:szCs w:val="19"/>
        </w:rPr>
        <w:t xml:space="preserve">Instrument: </w:t>
      </w:r>
      <w:r>
        <w:rPr>
          <w:rFonts w:ascii="Arial" w:cs="Arial" w:eastAsia="Arial" w:hAnsi="Arial"/>
          <w:sz w:val="19"/>
          <w:szCs w:val="19"/>
        </w:rPr>
        <w:t xml:space="preserve">joint rulemaking   </w:t>
      </w:r>
      <w:r>
        <w:rPr>
          <w:rFonts w:ascii="Arial" w:cs="Arial" w:eastAsia="Arial" w:hAnsi="Arial"/>
          <w:b/>
          <w:bCs/>
          <w:sz w:val="19"/>
          <w:szCs w:val="19"/>
        </w:rPr>
        <w:t xml:space="preserve">Status: </w:t>
      </w:r>
      <w:r>
        <w:rPr>
          <w:rFonts w:ascii="Arial" w:cs="Arial" w:eastAsia="Arial" w:hAnsi="Arial"/>
          <w:sz w:val="19"/>
          <w:szCs w:val="19"/>
        </w:rPr>
        <w:t xml:space="preserve">ready — single operation</w:t>
      </w:r>
    </w:p>
    <w:p>
      <w:pPr>
        <w:spacing w:after="30" w:before="100"/>
      </w:pPr>
      <w:r>
        <w:rPr>
          <w:rFonts w:ascii="Arial" w:cs="Arial" w:eastAsia="Arial" w:hAnsi="Arial"/>
          <w:b/>
          <w:bCs/>
          <w:color w:val="1F3864"/>
        </w:rPr>
        <w:t xml:space="preserve">Resolution, recovery &amp; contingency funding — </w:t>
      </w:r>
      <w:r>
        <w:rPr>
          <w:rFonts w:ascii="Arial" w:cs="Arial" w:eastAsia="Arial" w:hAnsi="Arial"/>
          <w:b/>
          <w:bCs/>
        </w:rPr>
        <w:t xml:space="preserve">Single 'resilience planning' board cycle; shared resolution submission with an IDI annex.</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clarify   </w:t>
      </w:r>
      <w:r>
        <w:rPr>
          <w:rFonts w:ascii="Arial" w:cs="Arial" w:eastAsia="Arial" w:hAnsi="Arial"/>
          <w:b/>
          <w:bCs/>
          <w:sz w:val="19"/>
          <w:szCs w:val="19"/>
        </w:rPr>
        <w:t xml:space="preserve">Operations: </w:t>
      </w:r>
      <w:r>
        <w:rPr>
          <w:rFonts w:ascii="Arial" w:cs="Arial" w:eastAsia="Arial" w:hAnsi="Arial"/>
          <w:sz w:val="19"/>
          <w:szCs w:val="19"/>
        </w:rPr>
        <w:t xml:space="preserve">composition   </w:t>
      </w:r>
      <w:r>
        <w:rPr>
          <w:rFonts w:ascii="Arial" w:cs="Arial" w:eastAsia="Arial" w:hAnsi="Arial"/>
          <w:b/>
          <w:bCs/>
          <w:sz w:val="19"/>
          <w:szCs w:val="19"/>
        </w:rPr>
        <w:t xml:space="preserve">Who acts: </w:t>
      </w:r>
      <w:r>
        <w:rPr>
          <w:rFonts w:ascii="Arial" w:cs="Arial" w:eastAsia="Arial" w:hAnsi="Arial"/>
          <w:sz w:val="19"/>
          <w:szCs w:val="19"/>
        </w:rPr>
        <w:t xml:space="preserve">FRB, FDIC   </w:t>
      </w:r>
      <w:r>
        <w:rPr>
          <w:rFonts w:ascii="Arial" w:cs="Arial" w:eastAsia="Arial" w:hAnsi="Arial"/>
          <w:b/>
          <w:bCs/>
          <w:sz w:val="19"/>
          <w:szCs w:val="19"/>
        </w:rPr>
        <w:t xml:space="preserve">Instrument: </w:t>
      </w:r>
      <w:r>
        <w:rPr>
          <w:rFonts w:ascii="Arial" w:cs="Arial" w:eastAsia="Arial" w:hAnsi="Arial"/>
          <w:sz w:val="19"/>
          <w:szCs w:val="19"/>
        </w:rPr>
        <w:t xml:space="preserve">joint rulemaking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Risk committee architecture — </w:t>
      </w:r>
      <w:r>
        <w:rPr>
          <w:rFonts w:ascii="Arial" w:cs="Arial" w:eastAsia="Arial" w:hAnsi="Arial"/>
          <w:b/>
          <w:bCs/>
        </w:rPr>
        <w:t xml:space="preserve">One risk-committee standard at the consolidated level + streamlined IDI certification</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RELATE_OBLIGATION + MERGE + DEEM_SATISFIED + FACTOR_EXCEPTION + RESOLVE_CROSS_REFERENCE   </w:t>
      </w:r>
      <w:r>
        <w:rPr>
          <w:rFonts w:ascii="Arial" w:cs="Arial" w:eastAsia="Arial" w:hAnsi="Arial"/>
          <w:b/>
          <w:bCs/>
          <w:sz w:val="19"/>
          <w:szCs w:val="19"/>
        </w:rPr>
        <w:t xml:space="preserve">Who acts: </w:t>
      </w:r>
      <w:r>
        <w:rPr>
          <w:rFonts w:ascii="Arial" w:cs="Arial" w:eastAsia="Arial" w:hAnsi="Arial"/>
          <w:sz w:val="19"/>
          <w:szCs w:val="19"/>
        </w:rPr>
        <w:t xml:space="preserve">FRB, OCC   </w:t>
      </w:r>
      <w:r>
        <w:rPr>
          <w:rFonts w:ascii="Arial" w:cs="Arial" w:eastAsia="Arial" w:hAnsi="Arial"/>
          <w:b/>
          <w:bCs/>
          <w:sz w:val="19"/>
          <w:szCs w:val="19"/>
        </w:rPr>
        <w:t xml:space="preserve">Instrument: </w:t>
      </w:r>
      <w:r>
        <w:rPr>
          <w:rFonts w:ascii="Arial" w:cs="Arial" w:eastAsia="Arial" w:hAnsi="Arial"/>
          <w:sz w:val="19"/>
          <w:szCs w:val="19"/>
        </w:rPr>
        <w:t xml:space="preserve">joint rulemaking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spacing w:after="30" w:before="100"/>
      </w:pPr>
      <w:r>
        <w:rPr>
          <w:rFonts w:ascii="Arial" w:cs="Arial" w:eastAsia="Arial" w:hAnsi="Arial"/>
          <w:b/>
          <w:bCs/>
          <w:color w:val="1F3864"/>
        </w:rPr>
        <w:t xml:space="preserve">Risk-governance framework / strategy — </w:t>
      </w:r>
      <w:r>
        <w:rPr>
          <w:rFonts w:ascii="Arial" w:cs="Arial" w:eastAsia="Arial" w:hAnsi="Arial"/>
          <w:b/>
          <w:bCs/>
        </w:rPr>
        <w:t xml:space="preserve">Codify SR 12-17 governance content into Reg YY; retire the letter</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RELOCATE + ASSIGN_DUTY_PARAMETER + REPEAL   </w:t>
      </w:r>
      <w:r>
        <w:rPr>
          <w:rFonts w:ascii="Arial" w:cs="Arial" w:eastAsia="Arial" w:hAnsi="Arial"/>
          <w:b/>
          <w:bCs/>
          <w:sz w:val="19"/>
          <w:szCs w:val="19"/>
        </w:rPr>
        <w:t xml:space="preserve">Who acts: </w:t>
      </w:r>
      <w:r>
        <w:rPr>
          <w:rFonts w:ascii="Arial" w:cs="Arial" w:eastAsia="Arial" w:hAnsi="Arial"/>
          <w:sz w:val="19"/>
          <w:szCs w:val="19"/>
        </w:rPr>
        <w:t xml:space="preserve">FRB   </w:t>
      </w:r>
      <w:r>
        <w:rPr>
          <w:rFonts w:ascii="Arial" w:cs="Arial" w:eastAsia="Arial" w:hAnsi="Arial"/>
          <w:b/>
          <w:bCs/>
          <w:sz w:val="19"/>
          <w:szCs w:val="19"/>
        </w:rPr>
        <w:t xml:space="preserve">Instrument: </w:t>
      </w:r>
      <w:r>
        <w:rPr>
          <w:rFonts w:ascii="Arial" w:cs="Arial" w:eastAsia="Arial" w:hAnsi="Arial"/>
          <w:sz w:val="19"/>
          <w:szCs w:val="19"/>
        </w:rPr>
        <w:t xml:space="preserve">rule amendment notice and comment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pStyle w:val="Heading1"/>
      </w:pPr>
      <w:r>
        <w:t xml:space="preserve">Tier 5 — Vertical rationalization (the largest structural lever)</w:t>
      </w:r>
    </w:p>
    <w:p>
      <w:pPr>
        <w:spacing w:after="120"/>
        <w:rPr>
          <w:i/>
          <w:iCs/>
          <w:color w:val="6B7280"/>
          <w:sz w:val="19"/>
          <w:szCs w:val="19"/>
        </w:rPr>
      </w:pPr>
      <w:r>
        <w:rPr>
          <w:rFonts w:ascii="Arial" w:cs="Arial" w:eastAsia="Arial" w:hAnsi="Arial"/>
          <w:i/>
          <w:iCs/>
          <w:color w:val="6B7280"/>
          <w:sz w:val="19"/>
          <w:szCs w:val="19"/>
        </w:rPr>
        <w:t xml:space="preserve">Holding-company/bank reliance expansion; possibly statutory at the margin.</w:t>
      </w:r>
    </w:p>
    <w:p>
      <w:pPr>
        <w:spacing w:after="30" w:before="100"/>
      </w:pPr>
      <w:r>
        <w:rPr>
          <w:rFonts w:ascii="Arial" w:cs="Arial" w:eastAsia="Arial" w:hAnsi="Arial"/>
          <w:b/>
          <w:bCs/>
          <w:color w:val="1F3864"/>
        </w:rPr>
        <w:t xml:space="preserve">cross-cutting (largest structural lever) — </w:t>
      </w:r>
      <w:r>
        <w:rPr>
          <w:rFonts w:ascii="Arial" w:cs="Arial" w:eastAsia="Arial" w:hAnsi="Arial"/>
          <w:b/>
          <w:bCs/>
        </w:rPr>
        <w:t xml:space="preserve">Vertical HC/IDI rationalization via expanded reliance accommodation (schema, per mirror pair)</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change   </w:t>
      </w:r>
      <w:r>
        <w:rPr>
          <w:rFonts w:ascii="Arial" w:cs="Arial" w:eastAsia="Arial" w:hAnsi="Arial"/>
          <w:b/>
          <w:bCs/>
          <w:sz w:val="19"/>
          <w:szCs w:val="19"/>
        </w:rPr>
        <w:t xml:space="preserve">Operations: </w:t>
      </w:r>
      <w:r>
        <w:rPr>
          <w:rFonts w:ascii="Arial" w:cs="Arial" w:eastAsia="Arial" w:hAnsi="Arial"/>
          <w:sz w:val="19"/>
          <w:szCs w:val="19"/>
        </w:rPr>
        <w:t xml:space="preserve">RELATE_OBLIGATION + DEEM_SATISFIED + FACTOR_EXCEPTION   </w:t>
      </w:r>
      <w:r>
        <w:rPr>
          <w:rFonts w:ascii="Arial" w:cs="Arial" w:eastAsia="Arial" w:hAnsi="Arial"/>
          <w:b/>
          <w:bCs/>
          <w:sz w:val="19"/>
          <w:szCs w:val="19"/>
        </w:rPr>
        <w:t xml:space="preserve">Who acts: </w:t>
      </w:r>
      <w:r>
        <w:rPr>
          <w:rFonts w:ascii="Arial" w:cs="Arial" w:eastAsia="Arial" w:hAnsi="Arial"/>
          <w:sz w:val="19"/>
          <w:szCs w:val="19"/>
        </w:rPr>
        <w:t xml:space="preserve">FRB, OCC, FDIC   </w:t>
      </w:r>
      <w:r>
        <w:rPr>
          <w:rFonts w:ascii="Arial" w:cs="Arial" w:eastAsia="Arial" w:hAnsi="Arial"/>
          <w:b/>
          <w:bCs/>
          <w:sz w:val="19"/>
          <w:szCs w:val="19"/>
        </w:rPr>
        <w:t xml:space="preserve">Instrument: </w:t>
      </w:r>
      <w:r>
        <w:rPr>
          <w:rFonts w:ascii="Arial" w:cs="Arial" w:eastAsia="Arial" w:hAnsi="Arial"/>
          <w:sz w:val="19"/>
          <w:szCs w:val="19"/>
        </w:rPr>
        <w:t xml:space="preserve">rulemaking possibly statutory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pStyle w:val="Heading1"/>
      </w:pPr>
      <w:r>
        <w:t xml:space="preserve">Tier 6 — Retained, open, and non-target items</w:t>
      </w:r>
    </w:p>
    <w:p>
      <w:pPr>
        <w:spacing w:after="120"/>
        <w:rPr>
          <w:i/>
          <w:iCs/>
          <w:color w:val="6B7280"/>
          <w:sz w:val="19"/>
          <w:szCs w:val="19"/>
        </w:rPr>
      </w:pPr>
      <w:r>
        <w:rPr>
          <w:rFonts w:ascii="Arial" w:cs="Arial" w:eastAsia="Arial" w:hAnsi="Arial"/>
          <w:i/>
          <w:iCs/>
          <w:color w:val="6B7280"/>
          <w:sz w:val="19"/>
          <w:szCs w:val="19"/>
        </w:rPr>
        <w:t xml:space="preserve">Duties kept by design (distinct statutory purpose), open policy branches, and documented non-targets.</w:t>
      </w:r>
    </w:p>
    <w:p>
      <w:pPr>
        <w:spacing w:after="30" w:before="100"/>
      </w:pPr>
      <w:r>
        <w:rPr>
          <w:rFonts w:ascii="Arial" w:cs="Arial" w:eastAsia="Arial" w:hAnsi="Arial"/>
          <w:b/>
          <w:bCs/>
          <w:color w:val="1F3864"/>
        </w:rPr>
        <w:t xml:space="preserve">Consumer compliance (CMS) — </w:t>
      </w:r>
      <w:r>
        <w:rPr>
          <w:rFonts w:ascii="Arial" w:cs="Arial" w:eastAsia="Arial" w:hAnsi="Arial"/>
          <w:b/>
          <w:bCs/>
        </w:rPr>
        <w:t xml:space="preserve">Coordinate CMS expectations; CFPB now lightly enforced (2026).</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n/a (non-target or open)   </w:t>
      </w:r>
      <w:r>
        <w:rPr>
          <w:rFonts w:ascii="Arial" w:cs="Arial" w:eastAsia="Arial" w:hAnsi="Arial"/>
          <w:b/>
          <w:bCs/>
          <w:sz w:val="19"/>
          <w:szCs w:val="19"/>
        </w:rPr>
        <w:t xml:space="preserve">Status: </w:t>
      </w:r>
      <w:r>
        <w:rPr>
          <w:rFonts w:ascii="Arial" w:cs="Arial" w:eastAsia="Arial" w:hAnsi="Arial"/>
          <w:sz w:val="19"/>
          <w:szCs w:val="19"/>
        </w:rPr>
        <w:t xml:space="preserve">non-target (retain / coordinate)</w:t>
      </w:r>
    </w:p>
    <w:p>
      <w:pPr>
        <w:spacing w:after="30" w:before="100"/>
      </w:pPr>
      <w:r>
        <w:rPr>
          <w:rFonts w:ascii="Arial" w:cs="Arial" w:eastAsia="Arial" w:hAnsi="Arial"/>
          <w:b/>
          <w:bCs/>
          <w:color w:val="1F3864"/>
        </w:rPr>
        <w:t xml:space="preserve">Incentive compensation — </w:t>
      </w:r>
      <w:r>
        <w:rPr>
          <w:rFonts w:ascii="Arial" w:cs="Arial" w:eastAsia="Arial" w:hAnsi="Arial"/>
          <w:b/>
          <w:bCs/>
        </w:rPr>
        <w:t xml:space="preserve">Finalize one 956 framework or rely on guidance; SEC independence satisfies the prudential element.</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n/a (non-target or open)   </w:t>
      </w:r>
      <w:r>
        <w:rPr>
          <w:rFonts w:ascii="Arial" w:cs="Arial" w:eastAsia="Arial" w:hAnsi="Arial"/>
          <w:b/>
          <w:bCs/>
          <w:sz w:val="19"/>
          <w:szCs w:val="19"/>
        </w:rPr>
        <w:t xml:space="preserve">Operations: </w:t>
      </w:r>
      <w:r>
        <w:rPr>
          <w:rFonts w:ascii="Arial" w:cs="Arial" w:eastAsia="Arial" w:hAnsi="Arial"/>
          <w:sz w:val="19"/>
          <w:szCs w:val="19"/>
        </w:rPr>
        <w:t xml:space="preserve">policy_disjunction   </w:t>
      </w:r>
      <w:r>
        <w:rPr>
          <w:rFonts w:ascii="Arial" w:cs="Arial" w:eastAsia="Arial" w:hAnsi="Arial"/>
          <w:b/>
          <w:bCs/>
          <w:sz w:val="19"/>
          <w:szCs w:val="19"/>
        </w:rPr>
        <w:t xml:space="preserve">Who acts: </w:t>
      </w:r>
      <w:r>
        <w:rPr>
          <w:rFonts w:ascii="Arial" w:cs="Arial" w:eastAsia="Arial" w:hAnsi="Arial"/>
          <w:sz w:val="19"/>
          <w:szCs w:val="19"/>
        </w:rPr>
        <w:t xml:space="preserve">FRB, OCC, FDIC, SEC, NCUA, FHFA   </w:t>
      </w:r>
      <w:r>
        <w:rPr>
          <w:rFonts w:ascii="Arial" w:cs="Arial" w:eastAsia="Arial" w:hAnsi="Arial"/>
          <w:b/>
          <w:bCs/>
          <w:sz w:val="19"/>
          <w:szCs w:val="19"/>
        </w:rPr>
        <w:t xml:space="preserve">Status: </w:t>
      </w:r>
      <w:r>
        <w:rPr>
          <w:rFonts w:ascii="Arial" w:cs="Arial" w:eastAsia="Arial" w:hAnsi="Arial"/>
          <w:sz w:val="19"/>
          <w:szCs w:val="19"/>
        </w:rPr>
        <w:t xml:space="preserve">open policy branch</w:t>
      </w:r>
    </w:p>
    <w:p>
      <w:pPr>
        <w:spacing w:after="30" w:before="100"/>
      </w:pPr>
      <w:r>
        <w:rPr>
          <w:rFonts w:ascii="Arial" w:cs="Arial" w:eastAsia="Arial" w:hAnsi="Arial"/>
          <w:b/>
          <w:bCs/>
          <w:color w:val="1F3864"/>
        </w:rPr>
        <w:t xml:space="preserve">Model risk governance — </w:t>
      </w:r>
      <w:r>
        <w:rPr>
          <w:rFonts w:ascii="Arial" w:cs="Arial" w:eastAsia="Arial" w:hAnsi="Arial"/>
          <w:b/>
          <w:bCs/>
        </w:rPr>
        <w:t xml:space="preserve">Confirm the Heightened Standards do not re-impose the dropped board duty. v2.1: SR 26-2 and OCC Bulletin 2026-13 (eff. Apr. 17, 2026) are expressly non-prescriptive and non-enforceable — neither should be cited as a binding board-approval mandate; any enforceable duty derives from 12 U.S.C. 1831p-1 / 12 CFR 30 App. D.</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n/a (non-target or open)   </w:t>
      </w:r>
      <w:r>
        <w:rPr>
          <w:rFonts w:ascii="Arial" w:cs="Arial" w:eastAsia="Arial" w:hAnsi="Arial"/>
          <w:b/>
          <w:bCs/>
          <w:sz w:val="19"/>
          <w:szCs w:val="19"/>
        </w:rPr>
        <w:t xml:space="preserve">Status: </w:t>
      </w:r>
      <w:r>
        <w:rPr>
          <w:rFonts w:ascii="Arial" w:cs="Arial" w:eastAsia="Arial" w:hAnsi="Arial"/>
          <w:sz w:val="19"/>
          <w:szCs w:val="19"/>
        </w:rPr>
        <w:t xml:space="preserve">non-target (retain / coordinate)</w:t>
      </w:r>
    </w:p>
    <w:p>
      <w:pPr>
        <w:spacing w:after="30" w:before="100"/>
      </w:pPr>
      <w:r>
        <w:rPr>
          <w:rFonts w:ascii="Arial" w:cs="Arial" w:eastAsia="Arial" w:hAnsi="Arial"/>
          <w:b/>
          <w:bCs/>
          <w:color w:val="1F3864"/>
        </w:rPr>
        <w:t xml:space="preserve">Personal &amp; individual-director liability — </w:t>
      </w:r>
      <w:r>
        <w:rPr>
          <w:rFonts w:ascii="Arial" w:cs="Arial" w:eastAsia="Arial" w:hAnsi="Arial"/>
          <w:b/>
          <w:bCs/>
        </w:rPr>
        <w:t xml:space="preserve">Not a consolidation target; documented to show how personal liability compounds the cost of duplicative mandates.</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n/a (non-target or open)   </w:t>
      </w:r>
      <w:r>
        <w:rPr>
          <w:rFonts w:ascii="Arial" w:cs="Arial" w:eastAsia="Arial" w:hAnsi="Arial"/>
          <w:b/>
          <w:bCs/>
          <w:sz w:val="19"/>
          <w:szCs w:val="19"/>
        </w:rPr>
        <w:t xml:space="preserve">Status: </w:t>
      </w:r>
      <w:r>
        <w:rPr>
          <w:rFonts w:ascii="Arial" w:cs="Arial" w:eastAsia="Arial" w:hAnsi="Arial"/>
          <w:sz w:val="19"/>
          <w:szCs w:val="19"/>
        </w:rPr>
        <w:t xml:space="preserve">non-target (retain / coordinate)</w:t>
      </w:r>
    </w:p>
    <w:p>
      <w:pPr>
        <w:spacing w:after="30" w:before="100"/>
      </w:pPr>
      <w:r>
        <w:rPr>
          <w:rFonts w:ascii="Arial" w:cs="Arial" w:eastAsia="Arial" w:hAnsi="Arial"/>
          <w:b/>
          <w:bCs/>
          <w:color w:val="1F3864"/>
        </w:rPr>
        <w:t xml:space="preserve">Safety-and-soundness baseline — </w:t>
      </w:r>
      <w:r>
        <w:rPr>
          <w:rFonts w:ascii="Arial" w:cs="Arial" w:eastAsia="Arial" w:hAnsi="Arial"/>
          <w:b/>
          <w:bCs/>
        </w:rPr>
        <w:t xml:space="preserve">Treat as baseline; avoid re-imposing in domain rules.</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n/a (non-target or open)   </w:t>
      </w:r>
      <w:r>
        <w:rPr>
          <w:rFonts w:ascii="Arial" w:cs="Arial" w:eastAsia="Arial" w:hAnsi="Arial"/>
          <w:b/>
          <w:bCs/>
          <w:sz w:val="19"/>
          <w:szCs w:val="19"/>
        </w:rPr>
        <w:t xml:space="preserve">Status: </w:t>
      </w:r>
      <w:r>
        <w:rPr>
          <w:rFonts w:ascii="Arial" w:cs="Arial" w:eastAsia="Arial" w:hAnsi="Arial"/>
          <w:sz w:val="19"/>
          <w:szCs w:val="19"/>
        </w:rPr>
        <w:t xml:space="preserve">non-target (retain / coordinate)</w:t>
      </w:r>
    </w:p>
    <w:p>
      <w:pPr>
        <w:spacing w:after="30" w:before="100"/>
      </w:pPr>
      <w:r>
        <w:rPr>
          <w:rFonts w:ascii="Arial" w:cs="Arial" w:eastAsia="Arial" w:hAnsi="Arial"/>
          <w:b/>
          <w:bCs/>
          <w:color w:val="1F3864"/>
        </w:rPr>
        <w:t xml:space="preserve">Source of strength / charter sanctity — </w:t>
      </w:r>
      <w:r>
        <w:rPr>
          <w:rFonts w:ascii="Arial" w:cs="Arial" w:eastAsia="Arial" w:hAnsi="Arial"/>
          <w:b/>
          <w:bCs/>
        </w:rPr>
        <w:t xml:space="preserve">Clarify the interaction for overlapping directors.</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n/a (non-target or open)   </w:t>
      </w:r>
      <w:r>
        <w:rPr>
          <w:rFonts w:ascii="Arial" w:cs="Arial" w:eastAsia="Arial" w:hAnsi="Arial"/>
          <w:b/>
          <w:bCs/>
          <w:sz w:val="19"/>
          <w:szCs w:val="19"/>
        </w:rPr>
        <w:t xml:space="preserve">Status: </w:t>
      </w:r>
      <w:r>
        <w:rPr>
          <w:rFonts w:ascii="Arial" w:cs="Arial" w:eastAsia="Arial" w:hAnsi="Arial"/>
          <w:sz w:val="19"/>
          <w:szCs w:val="19"/>
        </w:rPr>
        <w:t xml:space="preserve">non-target (retain / coordinate)</w:t>
      </w:r>
    </w:p>
    <w:p>
      <w:pPr>
        <w:spacing w:after="30" w:before="100"/>
      </w:pPr>
      <w:r>
        <w:rPr>
          <w:rFonts w:ascii="Arial" w:cs="Arial" w:eastAsia="Arial" w:hAnsi="Arial"/>
          <w:b/>
          <w:bCs/>
          <w:color w:val="1F3864"/>
        </w:rPr>
        <w:t xml:space="preserve">Unique structural duties — </w:t>
      </w:r>
      <w:r>
        <w:rPr>
          <w:rFonts w:ascii="Arial" w:cs="Arial" w:eastAsia="Arial" w:hAnsi="Arial"/>
          <w:b/>
          <w:bCs/>
        </w:rPr>
        <w:t xml:space="preserve">Retain; distinct purpose.</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n/a (non-target or open)   </w:t>
      </w:r>
      <w:r>
        <w:rPr>
          <w:rFonts w:ascii="Arial" w:cs="Arial" w:eastAsia="Arial" w:hAnsi="Arial"/>
          <w:b/>
          <w:bCs/>
          <w:sz w:val="19"/>
          <w:szCs w:val="19"/>
        </w:rPr>
        <w:t xml:space="preserve">Status: </w:t>
      </w:r>
      <w:r>
        <w:rPr>
          <w:rFonts w:ascii="Arial" w:cs="Arial" w:eastAsia="Arial" w:hAnsi="Arial"/>
          <w:sz w:val="19"/>
          <w:szCs w:val="19"/>
        </w:rPr>
        <w:t xml:space="preserve">non-target (retain / coordinate)</w:t>
      </w:r>
    </w:p>
    <w:p>
      <w:pPr>
        <w:spacing w:after="30" w:before="100"/>
      </w:pPr>
      <w:r>
        <w:rPr>
          <w:rFonts w:ascii="Arial" w:cs="Arial" w:eastAsia="Arial" w:hAnsi="Arial"/>
          <w:b/>
          <w:bCs/>
          <w:color w:val="1F3864"/>
        </w:rPr>
        <w:t xml:space="preserve">cross-cutting — </w:t>
      </w:r>
      <w:r>
        <w:rPr>
          <w:rFonts w:ascii="Arial" w:cs="Arial" w:eastAsia="Arial" w:hAnsi="Arial"/>
          <w:b/>
          <w:bCs/>
        </w:rPr>
        <w:t xml:space="preserve">Recurring meta-duty (approve framework / review annually / receive reports) -&gt; General Part</w:t>
      </w:r>
    </w:p>
    <w:p>
      <w:pPr>
        <w:spacing w:after="140"/>
      </w:pPr>
      <w:r>
        <w:rPr>
          <w:rFonts w:ascii="Arial" w:cs="Arial" w:eastAsia="Arial" w:hAnsi="Arial"/>
          <w:b/>
          <w:bCs/>
          <w:sz w:val="19"/>
          <w:szCs w:val="19"/>
        </w:rPr>
        <w:t xml:space="preserve">Effect: </w:t>
      </w:r>
      <w:r>
        <w:rPr>
          <w:rFonts w:ascii="Arial" w:cs="Arial" w:eastAsia="Arial" w:hAnsi="Arial"/>
          <w:sz w:val="19"/>
          <w:szCs w:val="19"/>
        </w:rPr>
        <w:t xml:space="preserve">fill_gap   </w:t>
      </w:r>
      <w:r>
        <w:rPr>
          <w:rFonts w:ascii="Arial" w:cs="Arial" w:eastAsia="Arial" w:hAnsi="Arial"/>
          <w:b/>
          <w:bCs/>
          <w:sz w:val="19"/>
          <w:szCs w:val="19"/>
        </w:rPr>
        <w:t xml:space="preserve">Operations: </w:t>
      </w:r>
      <w:r>
        <w:rPr>
          <w:rFonts w:ascii="Arial" w:cs="Arial" w:eastAsia="Arial" w:hAnsi="Arial"/>
          <w:sz w:val="19"/>
          <w:szCs w:val="19"/>
        </w:rPr>
        <w:t xml:space="preserve">INTRODUCE + ELEVATE_GENERAL_RULE + RESOLVE_CROSS_REFERENCE   </w:t>
      </w:r>
      <w:r>
        <w:rPr>
          <w:rFonts w:ascii="Arial" w:cs="Arial" w:eastAsia="Arial" w:hAnsi="Arial"/>
          <w:b/>
          <w:bCs/>
          <w:sz w:val="19"/>
          <w:szCs w:val="19"/>
        </w:rPr>
        <w:t xml:space="preserve">Who acts: </w:t>
      </w:r>
      <w:r>
        <w:rPr>
          <w:rFonts w:ascii="Arial" w:cs="Arial" w:eastAsia="Arial" w:hAnsi="Arial"/>
          <w:sz w:val="19"/>
          <w:szCs w:val="19"/>
        </w:rPr>
        <w:t xml:space="preserve">per instrument owner   </w:t>
      </w:r>
      <w:r>
        <w:rPr>
          <w:rFonts w:ascii="Arial" w:cs="Arial" w:eastAsia="Arial" w:hAnsi="Arial"/>
          <w:b/>
          <w:bCs/>
          <w:sz w:val="19"/>
          <w:szCs w:val="19"/>
        </w:rPr>
        <w:t xml:space="preserve">Instrument: </w:t>
      </w:r>
      <w:r>
        <w:rPr>
          <w:rFonts w:ascii="Arial" w:cs="Arial" w:eastAsia="Arial" w:hAnsi="Arial"/>
          <w:sz w:val="19"/>
          <w:szCs w:val="19"/>
        </w:rPr>
        <w:t xml:space="preserve">varies   </w:t>
      </w:r>
      <w:r>
        <w:rPr>
          <w:rFonts w:ascii="Arial" w:cs="Arial" w:eastAsia="Arial" w:hAnsi="Arial"/>
          <w:b/>
          <w:bCs/>
          <w:sz w:val="19"/>
          <w:szCs w:val="19"/>
        </w:rPr>
        <w:t xml:space="preserve">Status: </w:t>
      </w:r>
      <w:r>
        <w:rPr>
          <w:rFonts w:ascii="Arial" w:cs="Arial" w:eastAsia="Arial" w:hAnsi="Arial"/>
          <w:sz w:val="19"/>
          <w:szCs w:val="19"/>
        </w:rPr>
        <w:t xml:space="preserve">ready — validated composition</w:t>
      </w:r>
    </w:p>
    <w:p>
      <w:pPr>
        <w:pStyle w:val="Heading1"/>
      </w:pPr>
      <w:r>
        <w:t xml:space="preserve">Reading notes</w:t>
      </w:r>
    </w:p>
    <w:p>
      <w:pPr>
        <w:pStyle w:val="ListParagraph"/>
        <w:numPr>
          <w:ilvl w:val="0"/>
          <w:numId w:val="2"/>
        </w:numPr>
        <w:spacing w:after="60"/>
      </w:pPr>
      <w:r>
        <w:rPr>
          <w:rFonts w:ascii="Arial" w:cs="Arial" w:eastAsia="Arial" w:hAnsi="Arial"/>
        </w:rPr>
        <w:t xml:space="preserve">“Ready” means the lever is fully specified as auditable operations with evidence — not that any agency has agreed to it.</w:t>
      </w:r>
    </w:p>
    <w:p>
      <w:pPr>
        <w:pStyle w:val="ListParagraph"/>
        <w:numPr>
          <w:ilvl w:val="0"/>
          <w:numId w:val="2"/>
        </w:numPr>
        <w:spacing w:after="60"/>
      </w:pPr>
      <w:r>
        <w:rPr>
          <w:rFonts w:ascii="Arial" w:cs="Arial" w:eastAsia="Arial" w:hAnsi="Arial"/>
        </w:rPr>
        <w:t xml:space="preserve">Normative flags (policy choices, statutory constraints, interagency coordination) attach to each lever in the underlying packages; every one requires a human decision.</w:t>
      </w:r>
    </w:p>
    <w:p>
      <w:pPr>
        <w:pStyle w:val="ListParagraph"/>
        <w:numPr>
          <w:ilvl w:val="0"/>
          <w:numId w:val="2"/>
        </w:numPr>
        <w:spacing w:after="60"/>
      </w:pPr>
      <w:r>
        <w:rPr>
          <w:rFonts w:ascii="Arial" w:cs="Arial" w:eastAsia="Arial" w:hAnsi="Arial"/>
        </w:rPr>
        <w:t xml:space="preserve">Quantitative values — thresholds, cycles, the reconciled independence test — are left to principals throughout.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Reform Roadmap v2 (draft)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2026-07-04T13:10:23.900Z</dcterms:created>
  <dcterms:modified xsi:type="dcterms:W3CDTF">2026-07-04T13:10:23.901Z</dcterms:modified>
</cp:coreProperties>
</file>

<file path=docProps/custom.xml><?xml version="1.0" encoding="utf-8"?>
<Properties xmlns="http://schemas.openxmlformats.org/officeDocument/2006/custom-properties" xmlns:vt="http://schemas.openxmlformats.org/officeDocument/2006/docPropsVTypes"/>
</file>