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The Method in Three Pages</w:t>
      </w:r>
    </w:p>
    <w:p>
      <w:pPr>
        <w:pBdr>
          <w:bottom w:val="single" w:color="1F3864" w:sz="6" w:space="1"/>
        </w:pBd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How 227 GSIB board-duty statements became a 30-duty consolidation proposal — with an audit trail a regulator could rely on · July 2026</w:t>
      </w:r>
    </w:p>
    <w:p>
      <w:pPr>
        <w:spacing w:after="110"/>
      </w:pPr>
      <w:r>
        <w:rPr>
          <w:rFonts w:ascii="Arial" w:cs="Arial" w:eastAsia="Arial" w:hAnsi="Arial"/>
          <w:b/>
          <w:bCs/>
        </w:rPr>
        <w:t xml:space="preserve">The problem. </w:t>
      </w:r>
      <w:r>
        <w:rPr>
          <w:rFonts w:ascii="Arial" w:cs="Arial" w:eastAsia="Arial" w:hAnsi="Arial"/>
        </w:rPr>
        <w:t xml:space="preserve">Large-bank boards carry 227 distinct duty statements from five agencies across five layers of legal instrument. Nearly all are sensible alone; together they are cumulative policy sludge. Cleaning this up has historically taken commission-scale effort — five years for the D.C. criminal code, 40+ staff for the Reserve Bank of India's rulebook — because the binding constraint was never analysis; it was trustworthy analysis.</w:t>
      </w:r>
    </w:p>
    <w:p>
      <w:pPr>
        <w:spacing w:after="110"/>
      </w:pPr>
      <w:r>
        <w:rPr>
          <w:rFonts w:ascii="Arial" w:cs="Arial" w:eastAsia="Arial" w:hAnsi="Arial"/>
          <w:b/>
          <w:bCs/>
        </w:rPr>
        <w:t xml:space="preserve">The approach in one sentence. </w:t>
      </w:r>
      <w:r>
        <w:rPr>
          <w:rFonts w:ascii="Arial" w:cs="Arial" w:eastAsia="Arial" w:hAnsi="Arial"/>
        </w:rPr>
        <w:t xml:space="preserve">Build a citation-level inventory with adversarial AI cross-checking; express every reform as typed operations from a 16-move vocabulary with each move classified by legal effect; enforce the safety rules (statutory floors, no silent guidance-to-rule conversion, citation-or-silence) in code; let AI propose but never decide; and validate the whole method against a sealed answer key from a real consolidation.</w:t>
      </w:r>
    </w:p>
    <w:p>
      <w:pPr>
        <w:spacing w:after="60" w:before="60"/>
      </w:pPr>
      <w:r>
        <w:drawing>
          <wp:inline distT="0" distB="0" distL="0" distR="0">
            <wp:extent cx="6172200" cy="4162425"/>
            <wp:effectExtent t="0" r="0" b="0" l="0"/>
            <wp:docPr id="1" name="pipeline" descr="six-stage pipeline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The numbers that matter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227 duty statements → 30 consolidated (6 general mechanics + 24 domain duties); every statutory-floor obligation intact; every parallel-but-justified regime preserved by explicit relation.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142 of 227 statements verified verbatim against primary sources; zero fabricated or invented duties across four audit passes; the 85 unverified rows (exam-manual strata) are flagged, not hidden.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Zero hallucinated citations from the AI layer — every model claim had to anchor to a cached source span or it was rejected mechanically.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~60 human decisions, logged by name: every effect-class judgment, every threshold left to principals, every consolidation direction.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Held-out validation: on 163 pooled, pseudonymized RBI circulars with a sealed answer key, the engine matched the RBI's structure at 0.92 precision and produced what a plain model cannot — 131 auditable operations, 75% in the four moves the theory predicted.</w:t>
      </w:r>
    </w:p>
    <w:p>
      <w:pPr>
        <w:pStyle w:val="Heading2"/>
      </w:pPr>
      <w:r>
        <w:t xml:space="preserve">Why it can be trusted (the five structural guarantees)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invented law — citation-or-silence, enforced in code.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silent substance — every move classified codify / clarify / fill gap / change; every change names its lawful pathway.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deleted safeguards — the statutory floor blocks deletion mechanically.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machine policy-making — dials (thresholds, tests, the §956 branch) are decided by people, on the record.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Reproducible — verification caches, model caches, decision logs, and version history replay the entire pipeline offline.</w:t>
      </w:r>
    </w:p>
    <w:p>
      <w:pPr>
        <w:spacing w:after="110"/>
      </w:pPr>
      <w:r>
        <w:rPr>
          <w:rFonts w:ascii="Arial" w:cs="Arial" w:eastAsia="Arial" w:hAnsi="Arial"/>
          <w:b/>
          <w:bCs/>
        </w:rPr>
        <w:t xml:space="preserve">The bottom line. </w:t>
      </w:r>
      <w:r>
        <w:rPr>
          <w:rFonts w:ascii="Arial" w:cs="Arial" w:eastAsia="Arial" w:hAnsi="Arial"/>
        </w:rPr>
        <w:t xml:space="preserve">AI collapsed the staffing cost of regulatory clean-up from commission-scale to days. The verification architecture is what converts that speed into something a policymaker can act on. Companion documents: the consolidation proposal, the A→B crosswalk and explorer, the dual-track reform roadmap, and the full-length method narrative (From 227 Duties to 30: The Method).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The Method in Three Pages (draft)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3805bd48d77d1b42d089f80e9c3cac362f672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2026-07-04T17:07:33.938Z</dcterms:created>
  <dcterms:modified xsi:type="dcterms:W3CDTF">2026-07-04T17:07:33.939Z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