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GSIB Board Duties — Reform Roadmap</w:t>
      </w:r>
    </w:p>
    <w:p>
      <w:pPr>
        <w:pBdr>
          <w:bottom w:val="single" w:color="1F3864" w:sz="6" w:space="1"/>
        </w:pBdr>
        <w:spacing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v2.2 · July 2026 · dual-track: baseline coordination and executive priority · three views · companion to the Consolidated Board Duty Set (v0.1, draft)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this is. </w:t>
      </w:r>
      <w:r>
        <w:rPr>
          <w:rFonts w:ascii="Arial" w:cs="Arial" w:eastAsia="Arial" w:hAnsi="Arial"/>
        </w:rPr>
        <w:t xml:space="preserve">All 31 consolidation levers from the 227-statement corpus, in three views (feasibility · agency · timeline) and on two implementation tracks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BASELINE — voluntary interagency coordination: agencies sequence the work by consensus. ~48 months; the long pole is waiting, not 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EXECUTIVE PRIORITY — directed simultaneity under the June 2026 removal framework (Trump v. Slaughter; Trump v. Cook): an Executive Order task force, one omnibus rulemaking, dials forced on a 120-day calendar. ~24 months. Full legal basis, assumptions, and risk register: the v2.1-E addendum.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two tracks contain identical levers, identical APA comment, and identical statutory floors. </w:t>
      </w:r>
      <w:r>
        <w:rPr>
          <w:rFonts w:ascii="Arial" w:cs="Arial" w:eastAsia="Arial" w:hAnsi="Arial"/>
        </w:rPr>
        <w:t xml:space="preserve">What differs is who sequences the work and how many rulemaking vehicles carry it. Every lever entry below shows both windows; the timeline view shows both tracks in full.</w:t>
      </w:r>
    </w:p>
    <w:p>
      <w:pPr>
        <w:spacing w:after="60" w:before="80"/>
      </w:pPr>
      <w:r>
        <w:drawing>
          <wp:inline distT="0" distB="0" distL="0" distR="0">
            <wp:extent cx="6172200" cy="4162425"/>
            <wp:effectExtent t="0" r="0" b="0" l="0"/>
            <wp:docPr id="1" name="stacked comparison" descr="stacked comparison" title="stacked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View 1 — By feasibility (what is legally easiest)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Track-independent: legal difficulty does not change with governance mode; only the calendar does.</w:t>
      </w:r>
    </w:p>
    <w:p>
      <w:pPr>
        <w:pStyle w:val="Heading2"/>
      </w:pPr>
      <w:r>
        <w:t xml:space="preserve">Tier 1 — Guidance consolidation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Capital planning &amp; stress testing — </w:t>
      </w:r>
      <w:r>
        <w:rPr>
          <w:rFonts w:ascii="Arial" w:cs="Arial" w:eastAsia="Arial" w:hAnsi="Arial"/>
          <w:b/>
          <w:bCs/>
        </w:rPr>
        <w:t xml:space="preserve">Separate board capital-action decisions from technical methodology reporting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guidance action plus conforming rule note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0–6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coordination needed; guidance action + conforming note. Executive track: Folded into the omnibus joint NPRM: drafted months 3–7, 60-day comment, final by month 12.</w:t>
      </w:r>
    </w:p>
    <w:p>
      <w:pPr>
        <w:pStyle w:val="Heading2"/>
      </w:pPr>
      <w:r>
        <w:t xml:space="preserve">Tier 2 — Interagency statements &amp; coordination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Finalizes the Phase 2 definition work into rules/listing-standard cross-refs.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Deem-satisfied statement citing the General-Part mechanics.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Template published with the framework statement; safe harbor may need a conforming rule note (Phase 3).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Statement + safe harbor now; feeds the Phase 4 structural expansion.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Amends the 2023 interagency guidance; threshold value is a principals decision. Executive track: Issued in the 90-day guidance sweep (extended to month 4 where a principals’ dial is a prerequisite).</w:t>
      </w:r>
    </w:p>
    <w:p>
      <w:pPr>
        <w:pStyle w:val="Heading2"/>
      </w:pPr>
      <w:r>
        <w:t xml:space="preserve">Tier 3 — Rule harmonization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12–27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CRO/CRE rides the same Reg YY amendment cycle.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Credit cycle folds into the consolidated committee standard.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Fiduciary (trust) governance — </w:t>
      </w:r>
      <w:r>
        <w:rPr>
          <w:rFonts w:ascii="Arial" w:cs="Arial" w:eastAsia="Arial" w:hAnsi="Arial"/>
          <w:b/>
          <w:bCs/>
        </w:rPr>
        <w:t xml:space="preserve">Permit the §36/Part 363 audit committee to satisfy the fiduciary-audit duty where composition overlaps.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0–9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12 CFR 9 amendment.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Conform four appendices; the incident-timeline choice is a principals decision.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Internal control over financial reporting — </w:t>
      </w:r>
      <w:r>
        <w:rPr>
          <w:rFonts w:ascii="Arial" w:cs="Arial" w:eastAsia="Arial" w:hAnsi="Arial"/>
          <w:b/>
          <w:bCs/>
        </w:rPr>
        <w:t xml:space="preserve">SOX 404(b) satisfies FDICIA ICFR by cross-reference; align cycles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amendment(Part 363)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Part 363 amendment; start immediately, lands in Phase 2 window.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Operational-resilience fold rides the risk-appetite instruments.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15–33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Joint rulemaking; FDIC annex preserves the distinct resolvability interest.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Joint rulemaking; App. D cross-references Reg YY; certification template from Phase 2.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Codify SR 12-17 governance content into Reg YY; retire the letter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 notice and comment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Notice-and-comment; the declared guidance-to-rule conversion; retires the letter with a logged signal. Executive track: Folded into the omnibus joint NPRM: drafted months 3–7, 60-day comment, final by month 12.</w:t>
      </w:r>
    </w:p>
    <w:p>
      <w:pPr>
        <w:pStyle w:val="Heading2"/>
      </w:pPr>
      <w:r>
        <w:t xml:space="preserve">Tier 5 — Vertical rationalization (structural)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24–48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4–24 (E2→E3)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The structural prize; requires consolidated enterprise standards in force first; statutory at the margin. Executive track: Rides the omnibus NPRM with contingent effective dates; switches on months 18–24 as the standards it relies on take effect.</w:t>
      </w:r>
    </w:p>
    <w:p>
      <w:pPr>
        <w:pStyle w:val="Heading2"/>
      </w:pPr>
      <w:r>
        <w:t xml:space="preserve">Tier 6 — Retained, open, and non-target items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2–12 (E1→E2)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 Executive track: Branch decided months 2–4 on the dials calendar; chosen branch executed inside the omnibus (or by directed withdrawal).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Model risk governance — </w:t>
      </w:r>
      <w:r>
        <w:rPr>
          <w:rFonts w:ascii="Arial" w:cs="Arial" w:eastAsia="Arial" w:hAnsi="Arial"/>
          <w:b/>
          <w:bCs/>
        </w:rPr>
        <w:t xml:space="preserve">Confirm the Heightened Standards do not re-impose the dropped board duty. v2.1: SR 26-2 and OCC Bulletin 2026-…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Personal &amp; individual-director liability — </w:t>
      </w:r>
      <w:r>
        <w:rPr>
          <w:rFonts w:ascii="Arial" w:cs="Arial" w:eastAsia="Arial" w:hAnsi="Arial"/>
          <w:b/>
          <w:bCs/>
        </w:rPr>
        <w:t xml:space="preserve">Not a consolidation target; documented to show how personal liability compounds the cost of duplicative mandat…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Safety-and-soundness baseline — </w:t>
      </w:r>
      <w:r>
        <w:rPr>
          <w:rFonts w:ascii="Arial" w:cs="Arial" w:eastAsia="Arial" w:hAnsi="Arial"/>
          <w:b/>
          <w:bCs/>
        </w:rPr>
        <w:t xml:space="preserve">Treat as baseline; avoid re-imposing in domain rules.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Source of strength / charter sanctity — </w:t>
      </w:r>
      <w:r>
        <w:rPr>
          <w:rFonts w:ascii="Arial" w:cs="Arial" w:eastAsia="Arial" w:hAnsi="Arial"/>
          <w:b/>
          <w:bCs/>
        </w:rPr>
        <w:t xml:space="preserve">Clarify the interaction for overlapping directors.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Unique structural duties — </w:t>
      </w:r>
      <w:r>
        <w:rPr>
          <w:rFonts w:ascii="Arial" w:cs="Arial" w:eastAsia="Arial" w:hAnsi="Arial"/>
          <w:b/>
          <w:bCs/>
        </w:rPr>
        <w:t xml:space="preserve">Retain; distinct purpose.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1–3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 Executive track: THE GATING ITEM both tracks share — issued in the guidance sweep, month 1–3 instead of 6–15.</w:t>
      </w:r>
    </w:p>
    <w:p>
      <w:r>
        <w:br w:type="page"/>
      </w:r>
    </w:p>
    <w:p>
      <w:pPr>
        <w:pStyle w:val="Heading1"/>
      </w:pPr>
      <w:r>
        <w:t xml:space="preserve">View 2 — By agency (each regulator's work program, both tracks)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Solo vs. joint under the baseline; under the executive track the same items are task-force-coordinated, with FDIC and SEC principals removable (Slaughter) and Fed cooperation assumed, not compelled (Cook).</w:t>
      </w:r>
    </w:p>
    <w:p>
      <w:pPr>
        <w:pStyle w:val="Heading2"/>
      </w:pPr>
      <w:r>
        <w:t xml:space="preserve">FRB  (24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Capital planning &amp; stress testing — </w:t>
      </w:r>
      <w:r>
        <w:rPr>
          <w:rFonts w:ascii="Arial" w:cs="Arial" w:eastAsia="Arial" w:hAnsi="Arial"/>
          <w:b/>
          <w:bCs/>
        </w:rPr>
        <w:t xml:space="preserve">Separate board capital-action decisions from technical methodology reporting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guidance action plus conforming rule note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0–6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coordination needed; guidance action + conforming note.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Codify SR 12-17 governance content into Reg YY; retire the letter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 notice and comment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Notice-and-comment; the declared guidance-to-rule conversion; retires the letter with a logged signal. Executive track: Folded into the omnibus joint NPRM: drafted months 3–7, 60-day comment, final by month 12.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2–12 (E1→E2)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 Executive track: Branch decided months 2–4 on the dials calendar; chosen branch executed inside the omnibus (or by directed withdrawal).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Deem-satisfied statement citing the General-Part mechanics.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Template published with the framework statement; safe harbor may need a conforming rule note (Phase 3).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1–3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 Executive track: THE GATING ITEM both tracks share — issued in the guidance sweep, month 1–3 instead of 6–15.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Statement + safe harbor now; feeds the Phase 4 structural expansion.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Amends the 2023 interagency guidance; threshold value is a principals decision.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Finalizes the Phase 2 definition work into rules/listing-standard cross-refs.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12–27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CRO/CRE rides the same Reg YY amendment cycle.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Conform four appendices; the incident-timeline choice is a principals decision.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Operational-resilience fold rides the risk-appetite instruments.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Joint rulemaking; App. D cross-references Reg YY; certification template from Phase 2.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Credit cycle folds into the consolidated committee standard.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15–33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Joint rulemaking; FDIC annex preserves the distinct resolvability interest.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24–48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4–24 (E2→E3)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The structural prize; requires consolidated enterprise standards in force first; statutory at the margin. Executive track: Rides the omnibus NPRM with contingent effective dates; switches on months 18–24 as the standards it relies on take effect.</w:t>
      </w:r>
    </w:p>
    <w:p>
      <w:pPr>
        <w:pStyle w:val="Heading2"/>
      </w:pPr>
      <w:r>
        <w:t xml:space="preserve">OCC  (21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Fiduciary (trust) governance — </w:t>
      </w:r>
      <w:r>
        <w:rPr>
          <w:rFonts w:ascii="Arial" w:cs="Arial" w:eastAsia="Arial" w:hAnsi="Arial"/>
          <w:b/>
          <w:bCs/>
        </w:rPr>
        <w:t xml:space="preserve">Permit the §36/Part 363 audit committee to satisfy the fiduciary-audit duty where composition overlaps.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0–9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12 CFR 9 amendment. Executive track: Folded into the omnibus joint NPRM: drafted months 3–7, 60-day comment, final by month 12.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2–12 (E1→E2)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 Executive track: Branch decided months 2–4 on the dials calendar; chosen branch executed inside the omnibus (or by directed withdrawal).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Deem-satisfied statement citing the General-Part mechanics.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Template published with the framework statement; safe harbor may need a conforming rule note (Phase 3).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1–3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 Executive track: THE GATING ITEM both tracks share — issued in the guidance sweep, month 1–3 instead of 6–15.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Statement + safe harbor now; feeds the Phase 4 structural expansion.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Amends the 2023 interagency guidance; threshold value is a principals decision.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Finalizes the Phase 2 definition work into rules/listing-standard cross-refs.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12–27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CRO/CRE rides the same Reg YY amendment cycle.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Conform four appendices; the incident-timeline choice is a principals decision.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Operational-resilience fold rides the risk-appetite instruments.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Joint rulemaking; App. D cross-references Reg YY; certification template from Phase 2.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Credit cycle folds into the consolidated committee standard.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24–48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4–24 (E2→E3)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The structural prize; requires consolidated enterprise standards in force first; statutory at the margin. Executive track: Rides the omnibus NPRM with contingent effective dates; switches on months 18–24 as the standards it relies on take effect.</w:t>
      </w:r>
    </w:p>
    <w:p>
      <w:pPr>
        <w:pStyle w:val="Heading2"/>
      </w:pPr>
      <w:r>
        <w:t xml:space="preserve">FDIC  (13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Internal control over financial reporting — </w:t>
      </w:r>
      <w:r>
        <w:rPr>
          <w:rFonts w:ascii="Arial" w:cs="Arial" w:eastAsia="Arial" w:hAnsi="Arial"/>
          <w:b/>
          <w:bCs/>
        </w:rPr>
        <w:t xml:space="preserve">SOX 404(b) satisfies FDICIA ICFR by cross-reference; align cycles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amendment(Part 363)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0–12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Part 363 amendment; start immediately, lands in Phase 2 window. Executive track: Folded into the omnibus joint NPRM: drafted months 3–7, 60-day comment, final by month 12.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2–12 (E1→E2)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 Executive track: Branch decided months 2–4 on the dials calendar; chosen branch executed inside the omnibus (or by directed withdrawal).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6–15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1–3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 Executive track: THE GATING ITEM both tracks share — issued in the guidance sweep, month 1–3 instead of 6–15.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Amends the 2023 interagency guidance; threshold value is a principals decision.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Finalizes the Phase 2 definition work into rules/listing-standard cross-refs.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Conform four appendices; the incident-timeline choice is a principals decision.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Credit cycle folds into the consolidated committee standard.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15–33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Joint rulemaking; FDIC annex preserves the distinct resolvability interest.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24–48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4–24 (E2→E3)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The structural prize; requires consolidated enterprise standards in force first; statutory at the margin. Executive track: Rides the omnibus NPRM with contingent effective dates; switches on months 18–24 as the standards it relies on take effect.</w:t>
      </w:r>
    </w:p>
    <w:p>
      <w:pPr>
        <w:pStyle w:val="Heading2"/>
      </w:pPr>
      <w:r>
        <w:t xml:space="preserve">SEC  (5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0–48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2–12 (E1→E2)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 Executive track: Branch decided months 2–4 on the dials calendar; chosen branch executed inside the omnibus (or by directed withdrawal).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6–24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Finalizes the Phase 2 definition work into rules/listing-standard cross-refs. Executive track: Issued in the 90-day guidance sweep (extended to month 4 where a principals’ dial is a prerequisite).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12–30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Conform four appendices; the incident-timeline choice is a principals decision. Executive track: Folded into the omnibus joint NPRM: drafted months 3–7, 60-day comment, final by month 12.</w:t>
      </w:r>
    </w:p>
    <w:p>
      <w:pPr>
        <w:pStyle w:val="Heading2"/>
      </w:pPr>
      <w:r>
        <w:t xml:space="preserve">FinCEN  (2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6–18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4–12 (E2)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 Executive track: Folded into the omnibus joint NPRM: drafted months 3–7, 60-day comment, final by month 12.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 Executive track: Issued in the 90-day guidance sweep (extended to month 4 where a principals’ dial is a prerequisite).</w:t>
      </w:r>
    </w:p>
    <w:p>
      <w:pPr>
        <w:pStyle w:val="Heading2"/>
      </w:pPr>
      <w:r>
        <w:t xml:space="preserve">CFPB  (1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Baseline: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months 9–18</w:t>
      </w:r>
      <w:r>
        <w:rPr>
          <w:rFonts w:ascii="Arial" w:cs="Arial" w:eastAsia="Arial" w:hAnsi="Arial"/>
          <w:sz w:val="19"/>
          <w:szCs w:val="19"/>
        </w:rPr>
        <w:t xml:space="preserve">   ·   </w:t>
      </w:r>
      <w:r>
        <w:rPr>
          <w:rFonts w:ascii="Arial" w:cs="Arial" w:eastAsia="Arial" w:hAnsi="Arial"/>
          <w:b/>
          <w:bCs/>
          <w:color w:val="7C2D5E"/>
          <w:sz w:val="19"/>
          <w:szCs w:val="19"/>
        </w:rPr>
        <w:t xml:space="preserve">Executive: </w:t>
      </w:r>
      <w:r>
        <w:rPr>
          <w:rFonts w:ascii="Arial" w:cs="Arial" w:eastAsia="Arial" w:hAnsi="Arial"/>
          <w:color w:val="7C2D5E"/>
          <w:sz w:val="19"/>
          <w:szCs w:val="19"/>
        </w:rPr>
        <w:t xml:space="preserve">months 0–4 (E1)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 Executive track: Issued in the 90-day guidance sweep (extended to month 4 where a principals’ dial is a prerequisite).</w:t>
      </w:r>
    </w:p>
    <w:p>
      <w:r>
        <w:br w:type="page"/>
      </w:r>
    </w:p>
    <w:p>
      <w:pPr>
        <w:pStyle w:val="Heading1"/>
      </w:pPr>
      <w:r>
        <w:t xml:space="preserve">View 3 — By timeline: Track A (baseline coordination)</w:t>
      </w:r>
    </w:p>
    <w:p>
      <w:pPr>
        <w:spacing w:after="60" w:before="80"/>
      </w:pPr>
      <w:r>
        <w:drawing>
          <wp:inline distT="0" distB="0" distL="0" distR="0">
            <wp:extent cx="6172200" cy="5057775"/>
            <wp:effectExtent t="0" r="0" b="0" l="0"/>
            <wp:docPr id="1" name="baseline gantt" descr="baseline gantt" title="baseline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Phase 1 — Single-agency actions (months 0–6)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Three agencies act unilaterally; the working group stands up in parallel.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Separate board capital-action decisions from technical methodology reporting  (months 0–6)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Permit the §36/Part 363 audit committee to satisfy the fiduciary-audit duty where composition overlaps.  (months 0–9)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SOX 404(b) satisfies FDICIA ICFR by cross-reference; align cycles  (months 0–12)</w:t>
      </w:r>
    </w:p>
    <w:p>
      <w:pPr>
        <w:pStyle w:val="Heading2"/>
      </w:pPr>
      <w:r>
        <w:t xml:space="preserve">Phase 2 — Interagency statements &amp; safe harbors (months 6–18)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gating General-Part framework statement lands 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board-effectiveness assessment.  (months 6–12)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cross-referenced prudential independence definition.  (months 6–24)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Coordinate related-party review processes.  (months 6–18)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board liquidity approval satisfies rule and guidance.  (months 6–15)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Interagency risk-appetite template + safe harbor that one board-approved statement satisfies all.  (months 6–18)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board-effectiveness assessment  (months 6–12)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Cross-reference manual to the rule; avoid restating. v2.1: resolve the two unreconciled pending rewrites (2024…  (months 6–18)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Recurring meta-duty (approve framework / review annually / receive reports) -&gt; General Part  (months 6–15)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consolidated director-training program covering all topics.  (months 9–18)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enterprise framework approval with an IDI addendum (expanded App. D reliance accommodation)  (months 9–18)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Quantitative 'critical activity' threshold for board attention; management approval + aggregate reporting othe…  (months 9–18)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Coordinate CMS expectations; CFPB now lightly enforced (2026).  (months 9–18)</w:t>
      </w:r>
    </w:p>
    <w:p>
      <w:pPr>
        <w:pStyle w:val="Heading2"/>
      </w:pPr>
      <w:r>
        <w:t xml:space="preserve">Phase 3 — Joint rulemakings (months 12–30)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Six-plus notice-and-comment rulemakings, sequential in practice.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'independent director' definition; one audit committee satisfies all regimes  (months 12–30)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Consolidate into Reg YY; OCC incorporates by reference.  (months 12–27)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change-in-director notice procedure.  (months 12–24)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enterprise info-security program approval; joint SEC/banking statement on cyber oversight. v2.1: the 36-ho…  (months 12–30)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Fold into the enterprise risk-appetite approval.  (months 12–24)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risk-committee standard at the consolidated level + streamlined IDI certification  (months 12–30)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interagency real-estate-lending standard; fold ACL/credit-review into the risk-committee credit cycle.  (months 15–30)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'resilience planning' board cycle; shared resolution submission with an IDI annex.  (months 15–33)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Codify SR 12-17 governance content into Reg YY; retire the letter  (months 15–30)</w:t>
      </w:r>
    </w:p>
    <w:p>
      <w:pPr>
        <w:pStyle w:val="Heading2"/>
      </w:pPr>
      <w:r>
        <w:t xml:space="preserve">Phase 4 — Structural: vertical HC/IDI reliance (months 24–48)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Requires the consolidated standards to be in force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Vertical HC/IDI rationalization via expanded reliance accommodation (schema, per mirror pair)  (months 24–48)</w:t>
      </w:r>
    </w:p>
    <w:p>
      <w:pPr>
        <w:pStyle w:val="Heading2"/>
      </w:pPr>
      <w:r>
        <w:t xml:space="preserve">Principals' decisions (any time)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 forcing mechanism on this track.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Finalize one 956 framework or rely on guidance; SEC independence satisfies the prudential element.  (months 0–48)</w:t>
      </w:r>
    </w:p>
    <w:p>
      <w:r>
        <w:br w:type="page"/>
      </w:r>
    </w:p>
    <w:p>
      <w:pPr>
        <w:pStyle w:val="Heading1"/>
      </w:pPr>
      <w:r>
        <w:t xml:space="preserve">View 3 — By timeline: Track B (executive priority)</w:t>
      </w:r>
    </w:p>
    <w:p>
      <w:pPr>
        <w:spacing w:after="60" w:before="80"/>
      </w:pPr>
      <w:r>
        <w:drawing>
          <wp:inline distT="0" distB="0" distL="0" distR="0">
            <wp:extent cx="6172200" cy="4048125"/>
            <wp:effectExtent t="0" r="0" b="0" l="0"/>
            <wp:docPr id="1" name="executive gantt" descr="executive gantt" title="executive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Phase E1 — Direct and decide (months 0–4)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EO day 0; the full guidance sweep; the four principals' dials forced on a 120-day calendar. Contains the same gating General-Part statement — issued in month 1–3 instead of 6–15.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'independent director' definition; one audit committee satisfies all regimes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board-effectiveness assessment.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cross-referenced prudential independence definition.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consolidated director-training program covering all topics.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Coordinate related-party review processes.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board liquidity approval satisfies rule and guidance.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Interagency risk-appetite template + safe harbor that one board-approved statement satisfies all.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board-effectiveness assessment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Quantitative 'critical activity' threshold for board attention; management approval + aggregate reporting othe…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Coordinate CMS expectations; CFPB now lightly enforced (2026).  (months 0–4)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Recurring meta-duty (approve framework / review annually / receive reports) -&gt; General Part  (months 1–3)</w:t>
      </w:r>
    </w:p>
    <w:p>
      <w:pPr>
        <w:pStyle w:val="Heading2"/>
      </w:pPr>
      <w:r>
        <w:t xml:space="preserve">Spanning E1→E2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Decided early, executed in the omnibus.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Finalize one 956 framework or rely on guidance; SEC independence satisfies the prudential element.  (months 2–12)</w:t>
      </w:r>
    </w:p>
    <w:p>
      <w:pPr>
        <w:pStyle w:val="Heading2"/>
      </w:pPr>
      <w:r>
        <w:t xml:space="preserve">Phase E2 — One omnibus rulemaking (months 3–12)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Every rule-level lever rides a single joint NPRM (SEC companion alongside); 60-day comment; final by month 12.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Separate board capital-action decisions from technical methodology reporting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enterprise framework approval with an IDI addendum (expanded App. D reliance accommodation)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Cross-reference manual to the rule; avoid restating. v2.1: resolve the two unreconciled pending rewrites (2024…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Consolidate into Reg YY; OCC incorporates by reference.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interagency real-estate-lending standard; fold ACL/credit-review into the risk-committee credit cycle.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interagency change-in-director notice procedure.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Permit the §36/Part 363 audit committee to satisfy the fiduciary-audit duty where composition overlaps.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enterprise info-security program approval; joint SEC/banking statement on cyber oversight. v2.1: the 36-ho…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SOX 404(b) satisfies FDICIA ICFR by cross-reference; align cycles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Fold into the enterprise risk-appetite approval.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Single 'resilience planning' board cycle; shared resolution submission with an IDI annex.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One risk-committee standard at the consolidated level + streamlined IDI certification  (months 4–12)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Codify SR 12-17 governance content into Reg YY; retire the letter  (months 4–12)</w:t>
      </w:r>
    </w:p>
    <w:p>
      <w:pPr>
        <w:pStyle w:val="Heading2"/>
      </w:pPr>
      <w:r>
        <w:t xml:space="preserve">Phase E2→E3 — Contingent structural provisions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Adopted in the omnibus, effective months 18–24 as the standards they rely on take force.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Vertical HC/IDI rationalization via expanded reliance accommodation (schema, per mirror pair)  (months 4–24)</w:t>
      </w:r>
    </w:p>
    <w:p>
      <w:pPr>
        <w:pStyle w:val="Heading2"/>
      </w:pPr>
      <w:r>
        <w:t xml:space="preserve">Phase E3 — Effectiveness and transition (months 12–24)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CRA lookback; effective dates; examiner-manual conformance; certification and addendum templates; contingent reliance provisions switch on.</w:t>
      </w:r>
    </w:p>
    <w:p>
      <w:pPr>
        <w:pStyle w:val="Heading1"/>
      </w:pPr>
      <w:r>
        <w:t xml:space="preserve">Dependency notes (both tracks)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General-Part framework statement gates everything downstream on both tracks; the executive track simply issues it in month 1–3 rather than 6–15.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independence definition gates the risk-committee and audit-committee consolidations. Baseline: longest pole (SEC coordination). Executive: SEC principals removable post-Slaughter; runs on the task-force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Vertical reliance depends on consolidated standards being in force. Baseline: a separate Phase 4. Executive: adopted in the omnibus with contingent effective dates — the dependency becomes drafting order, not rule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principals' dials (critical-activity threshold, incident timeline, independence formulation, §956 branch) are prerequisites inside later items on both tracks; only the executive track has a mechanism to force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Track choice is itself a policy decision with a trade: the executive track buys ~24 months at the price of concentrated litigation exposure and reliance on cooperative Fed participation (Cook reserved question). Record quality — this project's verified evidence base — is the mitigant either way.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Reform Roadmap v2.2, dual-track (draft)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b0f87000d52bb61a6b7e2f6e757b313c0e9931.png"/><Relationship Id="rId9" Type="http://schemas.openxmlformats.org/officeDocument/2006/relationships/image" Target="media/dbad9c1d30757a3410ab20293ca5d161cb9dd93e.png"/><Relationship Id="rId10" Type="http://schemas.openxmlformats.org/officeDocument/2006/relationships/image" Target="media/e9c8913450e749e9bbe66c9a4e22c584bf1c994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2026-07-04T15:58:55.586Z</dcterms:created>
  <dcterms:modified xsi:type="dcterms:W3CDTF">2026-07-04T15:58:55.586Z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