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Verhaltenskodex 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r Au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ß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endienstmitarbeiter (Code of Conduct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Sales Rep)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HAIROTICMEN Deutschland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MH Trading UG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يُعدّ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مكملًا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لاتفاقية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ويضمن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سلوك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يتماشى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وهوية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الأسواق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والأوروبية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1. Integrit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ä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t &amp; Ehrlichkeit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النزاهة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والصدق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يتعامل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بشفافية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وصدق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يُسمح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بتقديم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وعود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كاذبة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تضليلية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2. Erscheinungsbild &amp; Markenrepr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ä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sentation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المظهر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وتمثيل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العلامة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بالظهور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بمظهر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واحترافي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الزيارات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تمثيل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صحيح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الدعائية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3. Kommunikation &amp; Sprache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واللغة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لغة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ومحترمة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دائمًا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يُفضَّل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باللغة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الإنجليزية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4. Umgang mit Kunden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التعامل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الإنصات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وتقديم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مناسبة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فئة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الضغط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لاتخاذ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خصوصية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بياناته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5. Wettbewerbsverhalten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التصرف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التنافسي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تشويه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سمعة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المنافسين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الإفصاح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حساسة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عملائها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6. Datenschutz &amp; Dokumentation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والتوثيق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الصارم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GDPR.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تخزين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قنوات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مؤمنة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نماذج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7. Umgang mit Werbemitteln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التعامل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المواد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الدعائية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إعادة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طباعة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ملصق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موافقة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كتابية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الحفاظ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نظافة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وترتيب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المعروضة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8. Loyalit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ä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t gegen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ü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ber HAIROTICMEN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بسياسات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منافسة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طوال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العقد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9. Meldepflicht bei Verst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öß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رصد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تلاعب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إساءة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الإبلاغ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الفوري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لقسم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الشركاء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10. Konsequenzen bei Versto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ß</w:t>
      </w:r>
    </w:p>
    <w:tbl>
      <w:tblPr>
        <w:tblW w:w="419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73"/>
        <w:gridCol w:w="272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Stufe</w:t>
            </w:r>
          </w:p>
        </w:tc>
        <w:tc>
          <w:tcPr>
            <w:tcW w:type="dxa" w:w="2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Ma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ß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nahme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1. Verwarnung</w:t>
            </w:r>
          </w:p>
        </w:tc>
        <w:tc>
          <w:tcPr>
            <w:tcW w:type="dxa" w:w="2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 كتابي وتحذير أول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2. Sanktion</w:t>
            </w:r>
          </w:p>
        </w:tc>
        <w:tc>
          <w:tcPr>
            <w:tcW w:type="dxa" w:w="2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تعليق نقاط الولاء أو مؤقت للنشاط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3. K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ü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ndigung</w:t>
            </w:r>
          </w:p>
        </w:tc>
        <w:tc>
          <w:tcPr>
            <w:tcW w:type="dxa" w:w="2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إنهاء فوري للعلاقة التعاقدية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Unterschriften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Ort: _____________________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  </w:t>
      </w:r>
      <w:r>
        <w:rPr>
          <w:rFonts w:ascii="Times Roman" w:hAnsi="Times Roman"/>
          <w:rtl w:val="0"/>
          <w:lang w:val="en-US"/>
        </w:rPr>
        <w:t>Datum: _______________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 (Vertretung)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Vertriebspartner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