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HAIROTICMEN – الاتفاقية الشاملة لتوزيع المنتجات (Master Distribution Agreement)</w:t>
      </w:r>
    </w:p>
    <w:p>
      <w:r>
        <w:t>تم إبرام هذه الاتفاقية بتاريخ: ___________ بين الأطراف التالية:</w:t>
        <w:br/>
        <w:t>1. شركة MH Trading UG، وعنوانها المسجل في برلين – ألمانيا، بصفتها الوكيل الحصري للعلامة التجارية HAIROTICMEN في السوق الألماني (ويُشار إليها لاحقًا بـ "الوكيل").</w:t>
        <w:br/>
        <w:t>2. شركة [اسم الموزع]، وعنوانها: ___________، بصفتها موزعًا إقليميًا معتمدًا في منطقة [المنطقة الجغرافية] (ويُشار إليها لاحقًا بـ "الموزع").</w:t>
      </w:r>
    </w:p>
    <w:p>
      <w:pPr>
        <w:pStyle w:val="Heading2"/>
      </w:pPr>
      <w:r>
        <w:t>المادة 1: موضوع الاتفاقية</w:t>
      </w:r>
    </w:p>
    <w:p>
      <w:r>
        <w:t>تمنح MH Trading UG بموجب هذه الاتفاقية حق التوزيع الحصري أو شبه الحصري للمنتجات المسجلة تحت علامة HAIROTICMEN ضمن المنطقة الجغرافية المتفق عليها، وفقًا للشروط والبنود المبينة أدناه والوثائق المرفقة بها.</w:t>
      </w:r>
    </w:p>
    <w:p>
      <w:pPr>
        <w:pStyle w:val="Heading2"/>
      </w:pPr>
      <w:r>
        <w:t>المادة 2: النطاق والقيود</w:t>
      </w:r>
    </w:p>
    <w:p>
      <w:r>
        <w:t>- يلتزم الموزع بعدم بيع المنتجات خارج نطاقه الجغرافي المحدد.</w:t>
        <w:br/>
        <w:t>- يُمنع بيع المنتجات على المتاجر الإلكترونية العامة (Amazon, eBay, TikTok Shop) باسم HAIROTICMEN دون تصريح رسمي.</w:t>
        <w:br/>
        <w:t>- يمكن للموزع فتح متجر إلكتروني خاص بشركته يعرض المنتجات بشرط الالتزام بسياسة الهوية البصرية والأسعار والتعريف بصفته كموزع معتمد.</w:t>
        <w:br/>
        <w:t>- لا يُسمح بتمثيل أو بيع منتجات منافسة مشابهة طوال فترة الاتفاقية و12 شهرًا بعدها.</w:t>
      </w:r>
    </w:p>
    <w:p>
      <w:pPr>
        <w:pStyle w:val="Heading2"/>
      </w:pPr>
      <w:r>
        <w:t>المادة 3: الحقوق والواجبات</w:t>
      </w:r>
    </w:p>
    <w:p>
      <w:pPr>
        <w:pStyle w:val="ListBullet"/>
      </w:pPr>
      <w:r>
        <w:t>- يتكفل الوكيل بتوفير المنتجات المعتمدة، الكتالوجات، المواد الدعائية، وقائمة الأسعار الرسمية.</w:t>
      </w:r>
    </w:p>
    <w:p>
      <w:pPr>
        <w:pStyle w:val="ListBullet"/>
      </w:pPr>
      <w:r>
        <w:t>- يتكفل الموزع بإدارة عملية التوزيع المحلي، تقديم تقارير أداء شهرية، الالتزام بالأسعار الرسمية، والتواصل مع العملاء.</w:t>
      </w:r>
    </w:p>
    <w:p>
      <w:pPr>
        <w:pStyle w:val="ListBullet"/>
      </w:pPr>
      <w:r>
        <w:t>- الموزع مسؤول عن أي نشاط تسويقي أو ميداني ضمن منطقته بالتنسيق مع الوكيل.</w:t>
      </w:r>
    </w:p>
    <w:p>
      <w:pPr>
        <w:pStyle w:val="ListBullet"/>
      </w:pPr>
      <w:r>
        <w:t>- يلتزم الموزع باستخدام فقط المواد المعتمدة رسميًا للعلامة وعدم التعديل عليها.</w:t>
      </w:r>
    </w:p>
    <w:p>
      <w:pPr>
        <w:pStyle w:val="ListBullet"/>
      </w:pPr>
      <w:r>
        <w:t>- يلتزم الطرفان بالتعاون في تنفيذ حملات تسويقية ممولة مشتركة.</w:t>
      </w:r>
    </w:p>
    <w:p>
      <w:pPr>
        <w:pStyle w:val="Heading2"/>
      </w:pPr>
      <w:r>
        <w:t>المادة 4: التسعير وآلية الدفع</w:t>
      </w:r>
    </w:p>
    <w:p>
      <w:r>
        <w:t>- تُحدد الأسعار الرسمية من قبل الوكيل، ويمنح الموزع خصم جملة يتراوح بين 30%-50% حسب حجم الطلب.</w:t>
        <w:br/>
        <w:t>- يُمنع البيع بأقل من الحد الأدنى المحدد (MAP).</w:t>
        <w:br/>
        <w:t>- يتم الدفع وفق شروط الدفع الموضحة في كل طلبية على حدة (مقدّمًا / دفعة / تحويل).</w:t>
      </w:r>
    </w:p>
    <w:p>
      <w:pPr>
        <w:pStyle w:val="Heading2"/>
      </w:pPr>
      <w:r>
        <w:t>المادة 5: الأداء والتقارير</w:t>
      </w:r>
    </w:p>
    <w:p>
      <w:r>
        <w:t>- يُطلب من الموزع تقديم تقرير شهري يشمل المبيعات، النقاط الجديدة، الحملات المنفذة، التغذية الراجعة.</w:t>
        <w:br/>
        <w:t>- يتم تقييم الأداء ربع سنوي، ويجوز تجديد أو تعديل النطاق بناءً على النتائج.</w:t>
      </w:r>
    </w:p>
    <w:p>
      <w:pPr>
        <w:pStyle w:val="Heading2"/>
      </w:pPr>
      <w:r>
        <w:t>المادة 6: برنامج الولاء والتحفيز</w:t>
      </w:r>
    </w:p>
    <w:p>
      <w:r>
        <w:t>- يمنح الموزع نقاط مقابل المبيعات والنشاطات التسويقية ويمكنه استبدالها بخصومات أو دعم إضافي.</w:t>
        <w:br/>
        <w:t>- يُحدث رصيد النقاط شهريًا ويُراجع من قبل الوكيل.</w:t>
      </w:r>
    </w:p>
    <w:p>
      <w:pPr>
        <w:pStyle w:val="Heading2"/>
      </w:pPr>
      <w:r>
        <w:t>المادة 7: حماية البيانات والعلامة التجارية</w:t>
      </w:r>
    </w:p>
    <w:p>
      <w:r>
        <w:t>- جميع بيانات العملاء والمبيعات تُعتبر ملكًا للوكيل ولا يجوز إعادة استخدامها خارج الإطار القانوني.</w:t>
        <w:br/>
        <w:t>- يُمنع استخدام العلامة أو الشعار أو الهوية البصرية خارج المواد الرسمية دون إذن كتابي.</w:t>
      </w:r>
    </w:p>
    <w:p>
      <w:pPr>
        <w:pStyle w:val="Heading2"/>
      </w:pPr>
      <w:r>
        <w:t>المادة 8: عدم المنافسة</w:t>
      </w:r>
    </w:p>
    <w:p>
      <w:r>
        <w:t>- يلتزم الموزع بعدم التعاقد أو التعاون مع علامات تجارية منافسة في فئة العناية بالرجل طوال فترة الاتفاقية.</w:t>
        <w:br/>
        <w:t>- يسري هذا الالتزام أيضًا لمدة 12 شهرًا بعد إنهاء العلاقة التجارية.</w:t>
      </w:r>
    </w:p>
    <w:p>
      <w:pPr>
        <w:pStyle w:val="Heading2"/>
      </w:pPr>
      <w:r>
        <w:t>المادة 9: إنهاء الاتفاقية</w:t>
      </w:r>
    </w:p>
    <w:p>
      <w:r>
        <w:t>- يجوز لأي طرف إنهاء الاتفاقية بإشعار كتابي قبل 30 يومًا.</w:t>
        <w:br/>
        <w:t>- في حال الإخلال بأي من الشروط، يحق للطرف الآخر إنهاء العقد دون إشعار مسبق.</w:t>
      </w:r>
    </w:p>
    <w:p>
      <w:pPr>
        <w:pStyle w:val="Heading2"/>
      </w:pPr>
      <w:r>
        <w:t>المادة 10: البنود القانونية العامة</w:t>
      </w:r>
    </w:p>
    <w:p>
      <w:r>
        <w:t>تُطبق هذه الاتفاقية وفقًا لقوانين جمهورية ألمانيا الاتحادية، ويُحال أي نزاع إلى المحكمة المختصة في برلين. وتُعتبر كافة الاتفاقيات والإقرارات والسياسات الملحقة جزءًا لا يتجزأ من هذه الاتفاقية وتفسر كمجموعة واحدة.</w:t>
      </w:r>
    </w:p>
    <w:p>
      <w:r>
        <w:br/>
        <w:t>توقيع الأطراف:</w:t>
        <w:br/>
      </w:r>
    </w:p>
    <w:p>
      <w:r>
        <w:t>الطرف الأول (الوكيل): MH Trading UG</w:t>
      </w:r>
    </w:p>
    <w:p>
      <w:r>
        <w:t>الاسم: ____________     التوقيع: ____________     التاريخ: ____________</w:t>
      </w:r>
    </w:p>
    <w:p>
      <w:r>
        <w:br/>
        <w:t>الطرف الثاني (الموزع): [اسم الشركة]</w:t>
      </w:r>
    </w:p>
    <w:p>
      <w:r>
        <w:t>الاسم: ____________     التوقيع: ____________     التاريخ: 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