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– سياسة نقاط الولاء والعروض التحفيزية للموزع الإقليمي</w:t>
      </w:r>
    </w:p>
    <w:p>
      <w:r>
        <w:t>تم إصدار هذه السياسة بتاريخ: ___________ من قبل شركة MH Trading UG – الوكيل الحصري لعلامة HAIROTICMEN في ألمانيا، وتنطبق على جميع الموزعين الإقليميين المعتمدين ضمن البرنامج الرسمي للشراكة والتوزيع.</w:t>
      </w:r>
    </w:p>
    <w:p>
      <w:pPr>
        <w:pStyle w:val="Heading2"/>
      </w:pPr>
      <w:r>
        <w:t>المادة 1: الهدف من البرنامج</w:t>
      </w:r>
    </w:p>
    <w:p>
      <w:r>
        <w:t>تهدف سياسة الولاء إلى تحفيز الموزعين الإقليميين على زيادة التفاعل والنمو وتحقيق الأهداف البيعية والتسويقية، من خلال نظام نقاط مرن ومكافآت تقدم وفقًا للأداء الشهري والفصلي.</w:t>
      </w:r>
    </w:p>
    <w:p>
      <w:pPr>
        <w:pStyle w:val="Heading2"/>
      </w:pPr>
      <w:r>
        <w:t>المادة 2: نظام احتساب النقاط</w:t>
      </w:r>
    </w:p>
    <w:p>
      <w:pPr>
        <w:pStyle w:val="ListBullet"/>
      </w:pPr>
      <w:r>
        <w:t>- كل عملية بيع معتمدة تمنح: 1 نقطة لكل 10€ من المبيعات الصافية.</w:t>
      </w:r>
    </w:p>
    <w:p>
      <w:pPr>
        <w:pStyle w:val="ListBullet"/>
      </w:pPr>
      <w:r>
        <w:t>- إضافة نقطة عند فتح صالون جديد نشط (بحد أقصى 5 صالونات شهريًا).</w:t>
      </w:r>
    </w:p>
    <w:p>
      <w:pPr>
        <w:pStyle w:val="ListBullet"/>
      </w:pPr>
      <w:r>
        <w:t>- نقطتين إضافيتين عند تنظيم حملة إعلانية ميدانية موثقة.</w:t>
      </w:r>
    </w:p>
    <w:p>
      <w:pPr>
        <w:pStyle w:val="ListBullet"/>
      </w:pPr>
      <w:r>
        <w:t>- 3 نقاط عند تحقيق الهدف الشهري الكامل.</w:t>
      </w:r>
    </w:p>
    <w:p>
      <w:pPr>
        <w:pStyle w:val="ListBullet"/>
      </w:pPr>
      <w:r>
        <w:t>- 5 نقاط إضافية عند تنفيذ خطة مشتركة مع فريق HAIROTICMEN.</w:t>
      </w:r>
    </w:p>
    <w:p>
      <w:pPr>
        <w:pStyle w:val="Heading2"/>
      </w:pPr>
      <w:r>
        <w:t>المادة 3: استبدال النقاط والمكافآت</w:t>
      </w:r>
    </w:p>
    <w:p>
      <w:pPr>
        <w:pStyle w:val="ListBullet"/>
      </w:pPr>
      <w:r>
        <w:t>- كل 100 نقطة = خصم 100€ من الفاتورة القادمة.</w:t>
      </w:r>
    </w:p>
    <w:p>
      <w:pPr>
        <w:pStyle w:val="ListBullet"/>
      </w:pPr>
      <w:r>
        <w:t>- إمكانية استبدال النقاط ببضائع دعائية مجانية.</w:t>
      </w:r>
    </w:p>
    <w:p>
      <w:pPr>
        <w:pStyle w:val="ListBullet"/>
      </w:pPr>
      <w:r>
        <w:t>- استبدال النقاط بدعم ممول لحملة محلية (شريطة تقديم خطة تسويقية واضحة).</w:t>
      </w:r>
    </w:p>
    <w:p>
      <w:pPr>
        <w:pStyle w:val="ListBullet"/>
      </w:pPr>
      <w:r>
        <w:t>- جوائز ربع سنوية للموزعين الأعلى أداءً (منتجات مجانية، محتوى دعائي خاص، شهادة تقدير).</w:t>
      </w:r>
    </w:p>
    <w:p>
      <w:pPr>
        <w:pStyle w:val="Heading2"/>
      </w:pPr>
      <w:r>
        <w:t>المادة 4: الشروط والأحكام</w:t>
      </w:r>
    </w:p>
    <w:p>
      <w:pPr>
        <w:pStyle w:val="ListBullet"/>
      </w:pPr>
      <w:r>
        <w:t>- النقاط لا تُنقل أو تُستبدل نقدًا.</w:t>
      </w:r>
    </w:p>
    <w:p>
      <w:pPr>
        <w:pStyle w:val="ListBullet"/>
      </w:pPr>
      <w:r>
        <w:t>- مدة صلاحية النقاط: 6 أشهر من تاريخ إصدارها.</w:t>
      </w:r>
    </w:p>
    <w:p>
      <w:pPr>
        <w:pStyle w:val="ListBullet"/>
      </w:pPr>
      <w:r>
        <w:t>- يجب تسجيل جميع الأنشطة المؤهلة عبر لوحة التحكم الرسمية للموزع.</w:t>
      </w:r>
    </w:p>
    <w:p>
      <w:pPr>
        <w:pStyle w:val="ListBullet"/>
      </w:pPr>
      <w:r>
        <w:t>- يتم تحديث الرصيد بشكل شهري ومراجعته من قبل فريق HAIROTICMEN.</w:t>
      </w:r>
    </w:p>
    <w:p>
      <w:pPr>
        <w:pStyle w:val="Heading2"/>
      </w:pPr>
      <w:r>
        <w:t>المادة 5: إلغاء البرنامج أو تعليق المكافآت</w:t>
      </w:r>
    </w:p>
    <w:p>
      <w:r>
        <w:t>تحتفظ MH Trading UG بحق تعديل أو تعليق البرنامج جزئيًا أو كليًا في حال سوء الاستخدام، التلاعب، أو في ظروف السوق الخاصة، مع إشعار مسبق لا يقل عن 30 يومًا.</w:t>
      </w:r>
    </w:p>
    <w:p>
      <w:pPr>
        <w:pStyle w:val="Heading2"/>
      </w:pPr>
      <w:r>
        <w:t>المادة 6: البنود القانونية</w:t>
      </w:r>
    </w:p>
    <w:p>
      <w:r>
        <w:t>تخضع هذه السياسة لقوانين جمهورية ألمانيا الاتحادية، ويُحال أي نزاع بشأنها إلى المحكمة المختصة في برلين.</w:t>
      </w:r>
    </w:p>
    <w:p>
      <w:r>
        <w:br/>
        <w:t>توقيع الأطراف:</w:t>
        <w:br/>
      </w:r>
    </w:p>
    <w:p>
      <w:r>
        <w:t>الطرف الأول (الوكيل): MH Trading UG</w:t>
      </w:r>
    </w:p>
    <w:p>
      <w:r>
        <w:t>الاسم: ____________     التوقيع: ____________     التاريخ: ____________</w:t>
      </w:r>
    </w:p>
    <w:p>
      <w:r>
        <w:br/>
        <w:t>الطرف الثاني (الموزع): [اسم الشركة]</w:t>
      </w:r>
    </w:p>
    <w:p>
      <w:r>
        <w:t>الاسم: ____________     التوقيع: ____________     التاريخ: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