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HAIROTICMEN – اتفاقية توزيع إقليمي حصري</w:t>
      </w:r>
    </w:p>
    <w:p>
      <w:r>
        <w:t>تم إبرام هذه الاتفاقية بتاريخ: ___________ بين الأطراف التالية:</w:t>
        <w:br/>
        <w:t>1. شركة MH Trading UG – الوكيل الحصري لعلامة HAIROTICMEN في ألمانيا</w:t>
        <w:br/>
        <w:t>2. شركة [اسم الشركة الموزعة] – بصفتها الموزع الإقليمي المعتمد ضمن المنطقة المحددة</w:t>
      </w:r>
    </w:p>
    <w:p>
      <w:pPr>
        <w:pStyle w:val="Heading2"/>
      </w:pPr>
      <w:r>
        <w:t>المادة 1: موضوع الاتفاق</w:t>
      </w:r>
    </w:p>
    <w:p>
      <w:pPr>
        <w:pStyle w:val="ListBullet"/>
      </w:pPr>
      <w:r>
        <w:t>- يمنح الوكيل للموزّع حق التوزيع الإقليمي الحصري لمنتجات HAIROTICMEN في المنطقة الجغرافية المحددة.</w:t>
      </w:r>
    </w:p>
    <w:p>
      <w:pPr>
        <w:pStyle w:val="ListBullet"/>
      </w:pPr>
      <w:r>
        <w:t>- النشاط يشمل البيع بالجملة، التسويق المحلي، تشغيل برامج Stand وAffiliate داخل منطقته.</w:t>
      </w:r>
    </w:p>
    <w:p>
      <w:pPr>
        <w:pStyle w:val="Heading2"/>
      </w:pPr>
      <w:r>
        <w:t>المادة 2: مدة الاتفاقية</w:t>
      </w:r>
    </w:p>
    <w:p>
      <w:pPr>
        <w:pStyle w:val="ListBullet"/>
      </w:pPr>
      <w:r>
        <w:t>- تسري الاتفاقية لمدة 12 شهرًا من تاريخ توقيعها، قابلة للتجديد.</w:t>
      </w:r>
    </w:p>
    <w:p>
      <w:pPr>
        <w:pStyle w:val="ListBullet"/>
      </w:pPr>
      <w:r>
        <w:t>- يجوز إنهاء الاتفاق بإشعار خطي مسبق مدته 60 يومًا.</w:t>
      </w:r>
    </w:p>
    <w:p>
      <w:pPr>
        <w:pStyle w:val="Heading2"/>
      </w:pPr>
      <w:r>
        <w:t>المادة 3: التزامات الموزع</w:t>
      </w:r>
    </w:p>
    <w:p>
      <w:pPr>
        <w:pStyle w:val="ListBullet"/>
      </w:pPr>
      <w:r>
        <w:t>- احترام المنطقة الجغرافية المحددة وعدم البيع خارجها.</w:t>
      </w:r>
    </w:p>
    <w:p>
      <w:pPr>
        <w:pStyle w:val="ListBullet"/>
      </w:pPr>
      <w:r>
        <w:t>- الحفاظ على مخزون كافٍ.</w:t>
      </w:r>
    </w:p>
    <w:p>
      <w:pPr>
        <w:pStyle w:val="ListBullet"/>
      </w:pPr>
      <w:r>
        <w:t>- تقديم تقارير شهرية (مبيعات، صالونات، مؤثرين).</w:t>
      </w:r>
    </w:p>
    <w:p>
      <w:pPr>
        <w:pStyle w:val="ListBullet"/>
      </w:pPr>
      <w:r>
        <w:t>- الالتزام بالأسعار الرسمية واستخدام المواد المعتمدة فقط.</w:t>
      </w:r>
    </w:p>
    <w:p>
      <w:pPr>
        <w:pStyle w:val="Heading2"/>
      </w:pPr>
      <w:r>
        <w:t>المادة 4: التزامات الوكيل</w:t>
      </w:r>
    </w:p>
    <w:p>
      <w:pPr>
        <w:pStyle w:val="ListBullet"/>
      </w:pPr>
      <w:r>
        <w:t>- توفير المنتجات والأسعار المتفق عليها.</w:t>
      </w:r>
    </w:p>
    <w:p>
      <w:pPr>
        <w:pStyle w:val="ListBullet"/>
      </w:pPr>
      <w:r>
        <w:t>- توفير المواد التسويقية والدعم الفني.</w:t>
      </w:r>
    </w:p>
    <w:p>
      <w:pPr>
        <w:pStyle w:val="ListBullet"/>
      </w:pPr>
      <w:r>
        <w:t>- عدم تعيين موزعين آخرين في نفس المنطقة.</w:t>
      </w:r>
    </w:p>
    <w:p>
      <w:pPr>
        <w:pStyle w:val="Heading2"/>
      </w:pPr>
      <w:r>
        <w:t>المادة 5: شروط الحصرية</w:t>
      </w:r>
    </w:p>
    <w:p>
      <w:pPr>
        <w:pStyle w:val="ListBullet"/>
      </w:pPr>
      <w:r>
        <w:t>- يحظر البيع من أي طرف ثالث داخل منطقة الموزع.</w:t>
      </w:r>
    </w:p>
    <w:p>
      <w:pPr>
        <w:pStyle w:val="ListBullet"/>
      </w:pPr>
      <w:r>
        <w:t>- يحظر إنشاء متاجر إلكترونية تحمل اسم العلامة في منطقته دون تفويض.</w:t>
      </w:r>
    </w:p>
    <w:p>
      <w:pPr>
        <w:pStyle w:val="Heading2"/>
      </w:pPr>
      <w:r>
        <w:t>المادة 6: شروط الدفع</w:t>
      </w:r>
    </w:p>
    <w:p>
      <w:pPr>
        <w:pStyle w:val="ListBullet"/>
      </w:pPr>
      <w:r>
        <w:t>- يتم دفع قيمة الطلبات خلال 7 أيام عمل من إصدار الفاتورة.</w:t>
      </w:r>
    </w:p>
    <w:p>
      <w:pPr>
        <w:pStyle w:val="ListBullet"/>
      </w:pPr>
      <w:r>
        <w:t>- الحد الأدنى للطلب الأول: 1,000 يورو.</w:t>
      </w:r>
    </w:p>
    <w:p>
      <w:pPr>
        <w:pStyle w:val="Heading2"/>
      </w:pPr>
      <w:r>
        <w:t>المادة 7: إنهاء الاتفاق</w:t>
      </w:r>
    </w:p>
    <w:p>
      <w:pPr>
        <w:pStyle w:val="ListBullet"/>
      </w:pPr>
      <w:r>
        <w:t>- يجوز إنهاء الاتفاق بسبب: مخالفة الشروط، البيع خارج النطاق، التوقف عن النشاط.</w:t>
      </w:r>
    </w:p>
    <w:p>
      <w:pPr>
        <w:pStyle w:val="ListBullet"/>
      </w:pPr>
      <w:r>
        <w:t>- الإشعار المسبق 60 يومًا كتابيًا.</w:t>
      </w:r>
    </w:p>
    <w:p>
      <w:pPr>
        <w:pStyle w:val="Heading2"/>
      </w:pPr>
      <w:r>
        <w:t>المادة 8: بنود قانونية عامة</w:t>
      </w:r>
    </w:p>
    <w:p>
      <w:pPr>
        <w:pStyle w:val="ListBullet"/>
      </w:pPr>
      <w:r>
        <w:t>- تخضع هذه الاتفاقية لقوانين جمهورية ألمانيا الاتحادية.</w:t>
      </w:r>
    </w:p>
    <w:p>
      <w:pPr>
        <w:pStyle w:val="ListBullet"/>
      </w:pPr>
      <w:r>
        <w:t>- الاختصاص القضائي: محكمة برلين، إلا إذا اتفق الطرفان خلاف ذلك.</w:t>
      </w:r>
    </w:p>
    <w:p>
      <w:pPr>
        <w:pStyle w:val="ListBullet"/>
      </w:pPr>
      <w:r>
        <w:t>- أي تعديل يتم بمستند مكتوب موقع من الطرفين.</w:t>
      </w:r>
    </w:p>
    <w:p>
      <w:pPr>
        <w:pStyle w:val="Heading2"/>
      </w:pPr>
      <w:r>
        <w:t>المادة 9: حماية العلامة التجارية</w:t>
      </w:r>
    </w:p>
    <w:p>
      <w:pPr>
        <w:pStyle w:val="ListBullet"/>
      </w:pPr>
      <w:r>
        <w:t>- يحظر استخدام أو تعديل اللوغو أو المحتوى دون تفويض.</w:t>
      </w:r>
    </w:p>
    <w:p>
      <w:pPr>
        <w:pStyle w:val="ListBullet"/>
      </w:pPr>
      <w:r>
        <w:t>- يُمنع تسجيل النطاقات أو الحسابات الرسمية دون إذن كتابي.</w:t>
      </w:r>
    </w:p>
    <w:p>
      <w:pPr>
        <w:pStyle w:val="ListBullet"/>
      </w:pPr>
      <w:r>
        <w:t>- لا يحق للموزع المطالبة بأي حق على العلامة بعد انتهاء العقد.</w:t>
      </w:r>
    </w:p>
    <w:p>
      <w:pPr>
        <w:pStyle w:val="Heading2"/>
      </w:pPr>
      <w:r>
        <w:t>المادة 10: سياسة التواصل والعلاقات العامة</w:t>
      </w:r>
    </w:p>
    <w:p>
      <w:pPr>
        <w:pStyle w:val="ListBullet"/>
      </w:pPr>
      <w:r>
        <w:t>- يحظر تمثيل العلامة في الإعلام دون تنسيق مع الوكيل.</w:t>
      </w:r>
    </w:p>
    <w:p>
      <w:pPr>
        <w:pStyle w:val="ListBullet"/>
      </w:pPr>
      <w:r>
        <w:t>- يُمنع إدراج العلامة في سياقات غير أخلاقية أو سياسية.</w:t>
      </w:r>
    </w:p>
    <w:p>
      <w:pPr>
        <w:pStyle w:val="Heading2"/>
      </w:pPr>
      <w:r>
        <w:t>المادة 11: شروط التوسع</w:t>
      </w:r>
    </w:p>
    <w:p>
      <w:pPr>
        <w:pStyle w:val="ListBullet"/>
      </w:pPr>
      <w:r>
        <w:t>- يجوز طلب توسعة جغرافية بعد 3 أشهر من الأداء الموثق.</w:t>
      </w:r>
    </w:p>
    <w:p>
      <w:pPr>
        <w:pStyle w:val="ListBullet"/>
      </w:pPr>
      <w:r>
        <w:t>- كل توسع يتم من خلال ملحق رسمي للعقد.</w:t>
      </w:r>
    </w:p>
    <w:p>
      <w:pPr>
        <w:pStyle w:val="Heading2"/>
      </w:pPr>
      <w:r>
        <w:t>المادة 12: الحوافز والامتيازات</w:t>
      </w:r>
    </w:p>
    <w:p>
      <w:pPr>
        <w:pStyle w:val="ListBullet"/>
      </w:pPr>
      <w:r>
        <w:t>- نقاط ولاء، خصومات مستقبلية، حملات مشتركة.</w:t>
      </w:r>
    </w:p>
    <w:p>
      <w:pPr>
        <w:pStyle w:val="ListBullet"/>
      </w:pPr>
      <w:r>
        <w:t>- إدارة صالونات ومؤثرين من خلال النظام الإلكتروني.</w:t>
      </w:r>
    </w:p>
    <w:p>
      <w:pPr>
        <w:pStyle w:val="Heading2"/>
      </w:pPr>
      <w:r>
        <w:t>المادة 13: حدود المسؤولية</w:t>
      </w:r>
    </w:p>
    <w:p>
      <w:pPr>
        <w:pStyle w:val="ListBullet"/>
      </w:pPr>
      <w:r>
        <w:t>- الوكيل غير مسؤول عن النتائج السوقية للموزع.</w:t>
      </w:r>
    </w:p>
    <w:p>
      <w:pPr>
        <w:pStyle w:val="ListBullet"/>
      </w:pPr>
      <w:r>
        <w:t>- الموزع مسؤول عن النقل والتخزين المحلي للمنتجات.</w:t>
      </w:r>
    </w:p>
    <w:p>
      <w:pPr>
        <w:pStyle w:val="Heading2"/>
      </w:pPr>
      <w:r>
        <w:t>المرفقات</w:t>
      </w:r>
    </w:p>
    <w:p>
      <w:pPr>
        <w:pStyle w:val="ListBullet"/>
      </w:pPr>
      <w:r>
        <w:t>- ملحق (أ): قائمة الأسعار الرسمية.</w:t>
      </w:r>
    </w:p>
    <w:p>
      <w:pPr>
        <w:pStyle w:val="ListBullet"/>
      </w:pPr>
      <w:r>
        <w:t>- ملحق (ب): نموذج التقرير الشهري.</w:t>
      </w:r>
    </w:p>
    <w:p>
      <w:pPr>
        <w:pStyle w:val="ListBullet"/>
      </w:pPr>
      <w:r>
        <w:t>- ملحق (ج): المنتجات المصرح بها.</w:t>
      </w:r>
    </w:p>
    <w:p>
      <w:pPr>
        <w:pStyle w:val="ListBullet"/>
      </w:pPr>
      <w:r>
        <w:t>- ملحق (د): خريطة التوزيع الجغرافي.</w:t>
      </w:r>
    </w:p>
    <w:p>
      <w:r>
        <w:br/>
        <w:t>توقيع الأطراف:</w:t>
        <w:br/>
      </w:r>
    </w:p>
    <w:p>
      <w:r>
        <w:t>الطرف الأول (الوكيل): MH Trading UG</w:t>
      </w:r>
    </w:p>
    <w:p>
      <w:r>
        <w:t>الاسم: ____________     التوقيع: ____________     التاريخ: ____________</w:t>
      </w:r>
    </w:p>
    <w:p>
      <w:r>
        <w:br/>
        <w:t>الطرف الثاني (الموزع): [اسم الشركة]</w:t>
      </w:r>
    </w:p>
    <w:p>
      <w:r>
        <w:t>الاسم: ____________     التوقيع: ____________     التاريخ: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