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سياسة العمولات ونظام النقاط – برنامج HAIROTICMEN Stand</w:t>
        <w:br/>
        <w:t>Commission &amp; Points Policy – MH Trading UG (Germany)</w:t>
      </w:r>
    </w:p>
    <w:p>
      <w:r>
        <w:t>إصدار: Berlin Pilot 2025 | الجهة: MH Trading UG – Germany</w:t>
      </w:r>
    </w:p>
    <w:p>
      <w:pPr>
        <w:pStyle w:val="Heading1"/>
      </w:pPr>
      <w:r>
        <w:t>1) النطاق والتعاريف</w:t>
      </w:r>
    </w:p>
    <w:p>
      <w:r>
        <w:t>تسري هذه السياسة على جميع الشركاء المشاركين في برنامج HAIROTICMEN Stand داخل ألمانيا. يقصد بالمصطلحات: الشريك=الصالون، الشركة=MH Trading UG، المبيعات=مبيعات التجزئة الفعلية.</w:t>
      </w:r>
    </w:p>
    <w:p>
      <w:pPr>
        <w:pStyle w:val="Heading1"/>
      </w:pPr>
      <w:r>
        <w:t>2) هيكل العمولات (Commissions)</w:t>
      </w:r>
    </w:p>
    <w:p>
      <w:r>
        <w:t>أ) هامش الربح الأساسي للصالون: 30% من سعر التجزئة (RRP) لكل منتج.</w:t>
        <w:br/>
        <w:t>ب) هيكل الحوافز الشهرية (Tiered Bonus) بناءً على عدد الوحدات المباعة:</w:t>
        <w:br/>
        <w:t xml:space="preserve">   • من 50–99 وحدة: +5% إضافية (إجمالي 35%)</w:t>
        <w:br/>
        <w:t xml:space="preserve">   • من 100–149 وحدة: +10% إضافية (إجمالي 40%)</w:t>
        <w:br/>
        <w:t xml:space="preserve">   • 150 وحدة فأكثر: +15% إضافية (إجمالي 45%)</w:t>
        <w:br/>
        <w:t>ج) خدمات الحلاقة باستخدام المنتجات تمنح نقاط ولاء إضافية (لا تُدفع نقدًا بل عبر نقاط).</w:t>
      </w:r>
    </w:p>
    <w:p>
      <w:pPr>
        <w:pStyle w:val="Heading1"/>
      </w:pPr>
      <w:r>
        <w:t>3) نظام النقاط (Loyalty – myCred)</w:t>
      </w:r>
    </w:p>
    <w:p>
      <w:r>
        <w:t>أ) نقاط ترحيبية بعد التفعيل: 100 نقطة.</w:t>
        <w:br/>
        <w:t>ب) نقاط على المبيعات: 1 نقطة لكل 1€ صافي مشتريات من الشركة (طلبات إعادة التزويد).</w:t>
        <w:br/>
        <w:t>ج) نقاط على الأنشطة: 25 نقطة لصور ما قبل/بعد التركيب المعتمدة، 50 نقطة للتقرير الشهري المكتمل في موعده.</w:t>
        <w:br/>
        <w:t>د) الاستبدال: 500 نقطة = 25€ رصيد شرائي، 1,000 نقطة = 60€، 2,000 نقطة = 140€.</w:t>
        <w:br/>
        <w:t>هـ) تنتهي صلاحية النقاط بعد 12 شهرًا من تاريخ اكتسابها.</w:t>
      </w:r>
    </w:p>
    <w:p>
      <w:pPr>
        <w:pStyle w:val="Heading1"/>
      </w:pPr>
      <w:r>
        <w:t>4) التقارير والدفع (Reporting &amp; Payment)</w:t>
      </w:r>
    </w:p>
    <w:p>
      <w:r>
        <w:t>أ) دورة الدفع شهريًا خلال 10 أيام عمل بعد استلام تقرير المبيعات والفاتورة.</w:t>
        <w:br/>
        <w:t>ب) قناة الدفع: تحويل بنكي (SEPA) إلى حساب الشريك.</w:t>
        <w:br/>
        <w:t>ج) المستندات: تقرير المبيعات الشهري + نموذج الجرد إن تطلب + فاتورة الشريك.</w:t>
        <w:br/>
        <w:t>د) يُخصم أي مرتجع/تالف مثبت في نفس الدورة.</w:t>
      </w:r>
    </w:p>
    <w:p>
      <w:pPr>
        <w:pStyle w:val="Heading1"/>
      </w:pPr>
      <w:r>
        <w:t>5) الشروط العامة</w:t>
      </w:r>
    </w:p>
    <w:p>
      <w:r>
        <w:t>أ) تحتفظ الشركة بحق مراجعة الأسعار والخصومات وفق ظروف السوق بإشعار مسبق 14 يومًا.</w:t>
        <w:br/>
        <w:t>ب) يحظر إعادة بيع المنتجات خارج قنوات التجزئة داخل الصالون دون موافقة خطية.</w:t>
        <w:br/>
        <w:t>ج) جميع البيانات تُعالج وفق GDPR، ويحق للشريك طلب الوصول/التصحيح.</w:t>
        <w:br/>
        <w:t>د) تطبيق القانون الألماني، والاختصاص المحلي في برلين.</w:t>
      </w:r>
    </w:p>
    <w:p>
      <w:pPr>
        <w:pStyle w:val="Heading1"/>
      </w:pPr>
      <w:r>
        <w:t>6) النزاعات والتعديلات</w:t>
      </w:r>
    </w:p>
    <w:p>
      <w:r>
        <w:t>تُحل النزاعات وديًا خلال 14 يوم عمل، وإلا يُمكن اللجوء للإجراءات القانونية. تسري التعديلات من تاريخ الإخطار.</w:t>
      </w:r>
    </w:p>
    <w:p>
      <w:r>
        <w:br/>
        <w:br/>
        <w:t>اعتماد السياسة:</w:t>
        <w:br/>
        <w:t>الشركة: MH Trading UG – Germany</w:t>
        <w:tab/>
        <w:tab/>
        <w:t>التاريخ: ____ / ____ / 2025</w:t>
        <w:br/>
        <w:t>توقيع الممثل المفوض: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