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خطة الإعلان الممول – Berlin Pilot | HAIROTICMEN Stand</w:t>
      </w:r>
    </w:p>
    <w:p>
      <w:pPr>
        <w:pStyle w:val="Heading1"/>
      </w:pPr>
      <w:r>
        <w:t>1. الهدف</w:t>
      </w:r>
    </w:p>
    <w:p>
      <w:r>
        <w:t>ضم 30 صالون شريك خلال 90 يومًا، بمتوسط تكلفة اكتساب مقبولة.</w:t>
      </w:r>
    </w:p>
    <w:p>
      <w:pPr>
        <w:pStyle w:val="Heading1"/>
      </w:pPr>
      <w:r>
        <w:t>2. الجمهور المستهدف</w:t>
      </w:r>
    </w:p>
    <w:p>
      <w:r>
        <w:t>أصحاب ومديرو صالونات الحلاقة الرجالية في برلين والمناطق القريبة، متحدثو العربية/الألمانية.</w:t>
      </w:r>
    </w:p>
    <w:p>
      <w:pPr>
        <w:pStyle w:val="Heading1"/>
      </w:pPr>
      <w:r>
        <w:t>3. القنوات</w:t>
      </w:r>
    </w:p>
    <w:p>
      <w:r>
        <w:t>Meta Ads (Facebook/Instagram)، Google Ads (Search/Maps/Local)، TikTok (اختياري).</w:t>
      </w:r>
    </w:p>
    <w:p>
      <w:pPr>
        <w:pStyle w:val="Heading1"/>
      </w:pPr>
      <w:r>
        <w:t>4. الميزانية</w:t>
      </w:r>
    </w:p>
    <w:p>
      <w:r>
        <w:t>اقتراح: 2,000€ شهريًا مقسمة: 50% Meta، 40% Google، 10% TikTok.</w:t>
      </w:r>
    </w:p>
    <w:p>
      <w:pPr>
        <w:pStyle w:val="Heading1"/>
      </w:pPr>
      <w:r>
        <w:t>5. الرسائل الإعلانية</w:t>
      </w:r>
    </w:p>
    <w:p>
      <w:r>
        <w:t>• أستاند فاخر مجاني + أرباح حتى 45%</w:t>
        <w:br/>
        <w:t>• دعم تسويقي وتقني + برنامج نقاط</w:t>
        <w:br/>
        <w:t>• تركيب خلال 5 أيام في برلين</w:t>
      </w:r>
    </w:p>
    <w:p>
      <w:pPr>
        <w:pStyle w:val="Heading1"/>
      </w:pPr>
      <w:r>
        <w:t>6. نماذج نسخ إعلانية</w:t>
      </w:r>
    </w:p>
    <w:p>
      <w:r>
        <w:t>نسخ قصيرة وطويلة + CTA: قدّم طلبك الآن / احجز اتصالًا سريعًا.</w:t>
      </w:r>
    </w:p>
    <w:p>
      <w:pPr>
        <w:pStyle w:val="Heading1"/>
      </w:pPr>
      <w:r>
        <w:t>7. الصفحات المقصودة</w:t>
      </w:r>
    </w:p>
    <w:p>
      <w:r>
        <w:t>Landing Page مخصصة للنظام + تتبع UTM + نموذج بسيط.</w:t>
      </w:r>
    </w:p>
    <w:p>
      <w:pPr>
        <w:pStyle w:val="Heading1"/>
      </w:pPr>
      <w:r>
        <w:t>8. التتبع والقياس</w:t>
      </w:r>
    </w:p>
    <w:p>
      <w:r>
        <w:t>Conversion Tracking، Pixel، GA4، UTM، تقارير أسبوعية بالفرص والاكتساب.</w:t>
      </w:r>
    </w:p>
    <w:p>
      <w:pPr>
        <w:pStyle w:val="Heading1"/>
      </w:pPr>
      <w:r>
        <w:t>9. الجدول الزمني</w:t>
      </w:r>
    </w:p>
    <w:p>
      <w:r>
        <w:t>إطلاق أسبوع 1، تحسين أسبوع 2–3، توسيع جمهور Week 4+، مراجعات شهرية.</w:t>
      </w:r>
    </w:p>
    <w:p>
      <w:pPr>
        <w:pStyle w:val="Heading1"/>
      </w:pPr>
      <w:r>
        <w:t>10. مؤشرات الأداء</w:t>
      </w:r>
    </w:p>
    <w:p>
      <w:r>
        <w:t>CTR ≥ 2.5%، CPL ≤ 35€، عدد الطلبات المؤهلة ≥ 40/شهر.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