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تقرير تقييم المرحلة التجريبية – HAIROTICMEN Stand (Berlin Pilot 2025)</w:t>
      </w:r>
    </w:p>
    <w:p>
      <w:r>
        <w:t>إصدار: MH Trading UG – Germany</w:t>
        <w:br/>
      </w:r>
    </w:p>
    <w:p>
      <w:pPr>
        <w:pStyle w:val="Heading1"/>
      </w:pPr>
      <w:r>
        <w:t>1. الملخص التنفيذي</w:t>
      </w:r>
    </w:p>
    <w:p>
      <w:r>
        <w:t>نظرة عامة موجزة عن النتائج والنواتج الرئيسية وأهم التوصيات.</w:t>
      </w:r>
    </w:p>
    <w:p>
      <w:pPr>
        <w:pStyle w:val="Heading1"/>
      </w:pPr>
      <w:r>
        <w:t>2. الأهداف مقابل النتائج</w:t>
      </w:r>
    </w:p>
    <w:p>
      <w:r>
        <w:t>جدول مقارنة: الهدف المخطط ← النتيجة الفعلية ← الانحراف ← التعليق.</w:t>
      </w:r>
    </w:p>
    <w:p>
      <w:pPr>
        <w:pStyle w:val="Heading1"/>
      </w:pPr>
      <w:r>
        <w:t>3. مؤشرات الأداء (KPIs)</w:t>
      </w:r>
    </w:p>
    <w:p>
      <w:r>
        <w:t>عدد الأستاندات المركبة، المبيعات لكل استاند، نسبة التوثيق بالصور، رضا الشركاء، نسبة الإحالات.</w:t>
      </w:r>
    </w:p>
    <w:p>
      <w:pPr>
        <w:pStyle w:val="Heading1"/>
      </w:pPr>
      <w:r>
        <w:t>4. الأداء المالي</w:t>
      </w:r>
    </w:p>
    <w:p>
      <w:r>
        <w:t>ملخص الإيرادات، العمولة، الحوافز، تكلفة اللوجستيك، صافي الربح/الخسارة.</w:t>
      </w:r>
    </w:p>
    <w:p>
      <w:pPr>
        <w:pStyle w:val="Heading1"/>
      </w:pPr>
      <w:r>
        <w:t>5. التنفيذ الميداني</w:t>
      </w:r>
    </w:p>
    <w:p>
      <w:r>
        <w:t>معدلات الالتزام بالجدول، مشاكل النقل/التركيب، جودة الصور، الالتزام بالتوثيق.</w:t>
      </w:r>
    </w:p>
    <w:p>
      <w:pPr>
        <w:pStyle w:val="Heading1"/>
      </w:pPr>
      <w:r>
        <w:t>6. ملاحظات الشركاء</w:t>
      </w:r>
    </w:p>
    <w:p>
      <w:r>
        <w:t>ملخص الاستبيانات وتعليقات أصحاب الصالونات – نقاط القوة والضعف.</w:t>
      </w:r>
    </w:p>
    <w:p>
      <w:pPr>
        <w:pStyle w:val="Heading1"/>
      </w:pPr>
      <w:r>
        <w:t>7. المخاطر والدروس المستفادة</w:t>
      </w:r>
    </w:p>
    <w:p>
      <w:r>
        <w:t>المخاطر التي ظهرت، أسبابها، وكيفية معالجتها في المرحلة التالية.</w:t>
      </w:r>
    </w:p>
    <w:p>
      <w:pPr>
        <w:pStyle w:val="Heading1"/>
      </w:pPr>
      <w:r>
        <w:t>8. التوصيات</w:t>
      </w:r>
    </w:p>
    <w:p>
      <w:r>
        <w:t>خطة عملية واضحة للتحسين والتوسع – عناصر تسعير، تدريب، مواد دعائية، نظام الطلبات.</w:t>
      </w:r>
    </w:p>
    <w:p>
      <w:pPr>
        <w:pStyle w:val="Heading1"/>
      </w:pPr>
      <w:r>
        <w:t>9. خطة التوسع (مرحلة 2)</w:t>
      </w:r>
    </w:p>
    <w:p>
      <w:r>
        <w:t>مدن مستهدفة، عدد الأستاندات، الموارد المطلوبة، الجدول الزمني التقريبي.</w:t>
      </w:r>
    </w:p>
    <w:p>
      <w:pPr>
        <w:pStyle w:val="Heading1"/>
      </w:pPr>
      <w:r>
        <w:t>10. الملاحق</w:t>
      </w:r>
    </w:p>
    <w:p>
      <w:r>
        <w:t>روابط إلى Master Dashboard، تقارير المبيعات، صور مختارة، عقود الشراكة.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