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CD34C" w14:textId="77777777" w:rsidR="005A1A20" w:rsidRDefault="005A1A20" w:rsidP="005D6DD5">
      <w:pPr>
        <w:rPr>
          <w:b/>
          <w:bCs/>
        </w:rPr>
      </w:pPr>
      <w:r>
        <w:rPr>
          <w:b/>
          <w:bCs/>
        </w:rPr>
        <w:t>Variables</w:t>
        <w:br/>
      </w:r>
    </w:p>
    <w:p w14:paraId="45073130" w14:textId="1E9A376B" w:rsidR="0058176C" w:rsidRPr="00613A01" w:rsidRDefault="003F05BF" w:rsidP="005D6DD5">
      <w:pPr>
        <w:rPr>
          <w:b/>
          <w:bCs/>
        </w:rPr>
      </w:pPr>
      <w:r>
        <w:rPr>
          <w:rFonts w:ascii="Menlo" w:hAnsi="Menlo" w:cs="Menlo"/>
          <w:b/>
          <w:bCs/>
        </w:rPr>
        <w:t>PMID</w:t>
      </w:r>
      <w:r>
        <w:rPr>
          <w:b/>
          <w:bCs/>
        </w:rPr>
        <w:t xml:space="preserve">: </w:t>
      </w:r>
      <w:r>
        <w:t xml:space="preserve">The variable PMID is an identifier for the 305 diabetes clinical trials included in the 35 Cochrane reviews. When positive, PMID refers with one exception (see below) to PubMed identification numbers. When negative, PMID refers to sources of information not indexed in PubMed such as non-PubMed indexed journals, clinical trial registers, abstracts, or theses.  </w:t>
      </w:r>
    </w:p>
    <w:p w14:paraId="5EF08531" w14:textId="5C87B739" w:rsidR="00EB1106" w:rsidRDefault="00B43C5D" w:rsidP="00141898">
      <w:r>
        <w:rPr>
          <w:i/>
          <w:iCs/>
        </w:rPr>
        <w:t>Assigning of PMIDs to trial acronyms or industry-assigned protocol numbers:</w:t>
      </w:r>
      <w:r>
        <w:t xml:space="preserve"> Some Cochrane reviews refer in their forest plots to trial acronyms (e.g., DPP study for Diabetes Prevention Program) or to industry-assigned protocol numbers for clinical trials (e.g., Z011 study was funded by Eli Lilly comparing Insulin lispro vs. RHI).  PMID assignment for these headers were operationalized as follows. In the reference section of these Cochrane reviews (under “References to studies included in this review”), the trial acronym or industry-assigned protocol numbers is listed as a bolded header and followed by published studies whose data all derive from the same trial.  One of these references in the Cochrane reviews is frequently preceded by a star(*) to indicate the primary publication of the trial acronym.  For instance, the DPP 2002 heading in the Cochrane review by Hemmingsen et al. {Hemmingsen, 2017 #435} is followed by 37 references, and one of these references – the primary report by Knowler et al. - is preceded by a star {Knowler, 2002 #490}.</w:t>
      </w:r>
    </w:p>
    <w:p w14:paraId="7735F5F3" w14:textId="2153F596" w:rsidR="0051677C" w:rsidRDefault="005D6DD5" w:rsidP="005D6DD5">
      <w:r>
        <w:t xml:space="preserve">The PMID of the starred reference or the PMID from which data were abstracted was the identifier for trial acronyms or industry-assigned protocol numbers in Cochrane Forest plots.</w:t>
      </w:r>
    </w:p>
    <w:p w14:paraId="30780C07" w14:textId="2769A23A" w:rsidR="003F05BF" w:rsidRDefault="005D6DD5" w:rsidP="003F448B">
      <w:r>
        <w:t xml:space="preserve">Exception: Three industry trials (Z011, Z013, Z015) collectively reported two PubMed-indexed clinical trials.  For the purpose of data management, the PMID for Z011 was set to the study published by Anderson study et al. </w:t>
      </w:r>
      <w:r>
        <w:rPr>
          <w:i/>
          <w:iCs/>
        </w:rPr>
        <w:t>(Anderson_JH_Jr, Brunelle_RL, Koivisto_VA, Trautmann_ME, Vignati_L, DiMarchi_R. Improved mealtime treatment of diabetes mellitus using an insulin analogue. Clinical Therapeutics 1997;</w:t>
      </w:r>
      <w:r>
        <w:rPr>
          <w:b/>
          <w:bCs/>
          <w:i/>
          <w:iCs/>
        </w:rPr>
        <w:t>19</w:t>
      </w:r>
      <w:r>
        <w:rPr>
          <w:i/>
          <w:iCs/>
        </w:rPr>
        <w:t xml:space="preserve">(1):62-7). </w:t>
      </w:r>
      <w:r>
        <w:t xml:space="preserve">The PMID for Z013 was set to the study of Garg et al.</w:t>
      </w:r>
      <w:r>
        <w:rPr>
          <w:i/>
          <w:iCs/>
        </w:rPr>
        <w:t xml:space="preserve"> </w:t>
      </w:r>
      <w:r>
        <w:t>(</w:t>
      </w:r>
      <w:r>
        <w:rPr>
          <w:i/>
          <w:iCs/>
        </w:rPr>
        <w:t xml:space="preserve">Garg_SK, Carmain_JA, Braddy_KC, Anderson_JH, Vignati_L, Jennings_MK, et al. Pre-meal insulin analogue insulin lispro vs humulin insulin treatment in young subjects with type 1 diabetes. Diabetic Medicine 1996;</w:t>
      </w:r>
      <w:r>
        <w:rPr>
          <w:b/>
          <w:bCs/>
          <w:i/>
          <w:iCs/>
        </w:rPr>
        <w:t>13</w:t>
      </w:r>
      <w:r>
        <w:rPr>
          <w:i/>
          <w:iCs/>
        </w:rPr>
        <w:t>(1):47-52. [MEDLINE: 579]</w:t>
      </w:r>
      <w:r>
        <w:t xml:space="preserve">).  The PMID for Z015 was set to 1 for data management purposes. </w:t>
      </w:r>
    </w:p>
    <w:p w14:paraId="6FB16917" w14:textId="0A5CCBF5" w:rsidR="002957EE" w:rsidRDefault="002957EE" w:rsidP="002957EE">
      <w:r>
        <w:rPr>
          <w:rFonts w:ascii="Menlo" w:hAnsi="Menlo" w:cs="Menlo"/>
          <w:b/>
          <w:bCs/>
        </w:rPr>
        <w:t>Authors</w:t>
      </w:r>
      <w:r>
        <w:rPr>
          <w:b/>
          <w:bCs/>
        </w:rPr>
        <w:t xml:space="preserve">: </w:t>
      </w:r>
      <w:r>
        <w:t>Authors for each of the PMID when available.</w:t>
      </w:r>
    </w:p>
    <w:p w14:paraId="5095CB9A" w14:textId="37AF6624" w:rsidR="00B30CB7" w:rsidRPr="007C28B3" w:rsidRDefault="00B30CB7" w:rsidP="002957EE">
      <w:pPr>
        <w:rPr>
          <w:b/>
          <w:bCs/>
        </w:rPr>
      </w:pPr>
      <w:r>
        <w:rPr>
          <w:rFonts w:ascii="Menlo" w:hAnsi="Menlo" w:cs="Menlo"/>
          <w:b/>
          <w:bCs/>
        </w:rPr>
        <w:t>First_Author</w:t>
      </w:r>
      <w:r>
        <w:rPr>
          <w:b/>
          <w:bCs/>
        </w:rPr>
        <w:t>:</w:t>
      </w:r>
      <w:r>
        <w:t xml:space="preserve"> First author for each of the PMID when available</w:t>
      </w:r>
    </w:p>
    <w:p w14:paraId="559AD8D9" w14:textId="2A80C259" w:rsidR="001E0EB6" w:rsidRPr="007C28B3" w:rsidRDefault="001E0EB6" w:rsidP="002957EE">
      <w:pPr>
        <w:rPr>
          <w:b/>
          <w:bCs/>
        </w:rPr>
      </w:pPr>
      <w:r>
        <w:rPr>
          <w:rFonts w:ascii="Menlo" w:hAnsi="Menlo" w:cs="Menlo"/>
          <w:b/>
          <w:bCs/>
        </w:rPr>
        <w:t>Title</w:t>
      </w:r>
      <w:r>
        <w:rPr>
          <w:b/>
          <w:bCs/>
        </w:rPr>
        <w:t xml:space="preserve">: </w:t>
      </w:r>
      <w:r>
        <w:t>Title of publication when available.</w:t>
      </w:r>
    </w:p>
    <w:p w14:paraId="00B21D93" w14:textId="3F8CF49A" w:rsidR="001E0EB6" w:rsidRPr="007C28B3" w:rsidRDefault="002957EE" w:rsidP="002957EE">
      <w:pPr>
        <w:rPr>
          <w:b/>
          <w:bCs/>
        </w:rPr>
      </w:pPr>
      <w:r>
        <w:rPr>
          <w:rFonts w:ascii="Menlo" w:hAnsi="Menlo" w:cs="Menlo"/>
          <w:b/>
          <w:bCs/>
        </w:rPr>
        <w:lastRenderedPageBreak/>
        <w:t>Publication_Year</w:t>
      </w:r>
      <w:r>
        <w:rPr>
          <w:b/>
          <w:bCs/>
        </w:rPr>
        <w:t xml:space="preserve">: </w:t>
      </w:r>
      <w:r>
        <w:t>Year study was published.</w:t>
      </w:r>
    </w:p>
    <w:p w14:paraId="7707BD95" w14:textId="351E33CA" w:rsidR="001E0EB6" w:rsidRDefault="002957EE" w:rsidP="002957EE">
      <w:r>
        <w:rPr>
          <w:rFonts w:ascii="Menlo" w:hAnsi="Menlo" w:cs="Menlo"/>
          <w:b/>
          <w:bCs/>
        </w:rPr>
        <w:t>Citation</w:t>
      </w:r>
      <w:r>
        <w:rPr>
          <w:b/>
          <w:bCs/>
        </w:rPr>
        <w:t xml:space="preserve">: </w:t>
      </w:r>
      <w:r>
        <w:t>Citation details.</w:t>
      </w:r>
    </w:p>
    <w:p w14:paraId="17C2EACE" w14:textId="0E118EDB" w:rsidR="00B30CB7" w:rsidRDefault="000F0905" w:rsidP="002957EE">
      <w:r>
        <w:rPr>
          <w:rFonts w:ascii="Menlo" w:hAnsi="Menlo" w:cs="Menlo"/>
          <w:b/>
          <w:bCs/>
        </w:rPr>
        <w:t>endpoint</w:t>
      </w:r>
      <w:r>
        <w:rPr>
          <w:b/>
          <w:bCs/>
        </w:rPr>
        <w:t xml:space="preserve">: </w:t>
      </w:r>
      <w:r>
        <w:t xml:space="preserve">Variable describing whether the Cochrane authors calculated the effect size based on post-HbA1c data (endpoint= ‘post’) or on the pre-post difference of HbA1c data (endpoint= ‘dif’).</w:t>
      </w:r>
    </w:p>
    <w:p w14:paraId="6FC5F423" w14:textId="5DAEA624" w:rsidR="005B516F" w:rsidRPr="000E6651" w:rsidRDefault="005B516F" w:rsidP="002957EE">
      <w:r>
        <w:rPr>
          <w:rFonts w:ascii="Menlo" w:hAnsi="Menlo" w:cs="Menlo"/>
          <w:b/>
          <w:bCs/>
        </w:rPr>
        <w:t>SD_Available</w:t>
      </w:r>
      <w:r>
        <w:t>: standard deviation can be estimated per trial arm</w:t>
      </w:r>
    </w:p>
    <w:p w14:paraId="60A4B146" w14:textId="341449C7" w:rsidR="000E6651" w:rsidRPr="000E6651" w:rsidRDefault="00B30CB7" w:rsidP="002957EE">
      <w:r>
        <w:rPr>
          <w:rFonts w:ascii="Menlo" w:hAnsi="Menlo" w:cs="Menlo"/>
          <w:b/>
          <w:bCs/>
        </w:rPr>
        <w:t>xt,st,nt,xc,sc,nc</w:t>
      </w:r>
      <w:r>
        <w:rPr>
          <w:b/>
          <w:bCs/>
        </w:rPr>
        <w:t>:</w:t>
      </w:r>
      <w:r>
        <w:t xml:space="preserve">  HbA1c mean (x), standard deviation (s) and sample size (n) for treatment arm (xt,st,nt) and control arm (xc,sc, nc).</w:t>
      </w:r>
    </w:p>
    <w:p w14:paraId="1B293464" w14:textId="115FF8D5" w:rsidR="000E6651" w:rsidRPr="00B910F8" w:rsidRDefault="00972E5B" w:rsidP="000E6651">
      <w:pPr>
        <w:rPr>
          <w:b/>
          <w:bCs/>
        </w:rPr>
      </w:pPr>
      <w:r>
        <w:rPr>
          <w:rFonts w:ascii="Menlo" w:hAnsi="Menlo" w:cs="Menlo"/>
          <w:b/>
          <w:bCs/>
        </w:rPr>
        <w:t>month</w:t>
      </w:r>
      <w:r>
        <w:rPr>
          <w:b/>
          <w:bCs/>
        </w:rPr>
        <w:t>:</w:t>
      </w:r>
      <w:r>
        <w:t xml:space="preserve"> The follow-up time in months at which HbA1c outcomes were measured.  For each study, the maximum follow-up time was the last follow-up HbA1c evaluation post-randomization.  For cross-over trials, the duration of intervention and duration of follow-up differs and it is the duration of intervention which is reported here.  The duration of intervention when reported in days, weeks or years was rounded to the nearest month (e.g., 3.5 was rounded to 4).  Follow-up shorter than 1 month were rounded to the nearest tenth digit. </w:t>
      </w:r>
    </w:p>
    <w:p w14:paraId="7B5E0045" w14:textId="222E9552" w:rsidR="000E6651" w:rsidRDefault="000E6651" w:rsidP="002957EE">
      <w:r>
        <w:t xml:space="preserve">For data management purposes, the hundredth digit of the follow-up time refers to different effect sizes estimated at the same follow-up time.  For instance, 3.01 refers to the first treatment contrast evaluated at 3 months (intervention A -placebo), 3.02 refers to the second treatment contrast evaluated at 3 months (intervention B -placebo).  The hundredth digit thus refers to the specific treatment contrast, not the follow-up time.  </w:t>
      </w:r>
    </w:p>
    <w:p w14:paraId="05F91A4A" w14:textId="0F6FD99A" w:rsidR="000E6651" w:rsidRDefault="00B4589C" w:rsidP="002957EE">
      <w:r>
        <w:rPr>
          <w:rFonts w:ascii="Menlo" w:hAnsi="Menlo" w:cs="Menlo"/>
          <w:b/>
          <w:bCs/>
        </w:rPr>
        <w:t>effect; var_effect</w:t>
      </w:r>
      <w:r>
        <w:rPr>
          <w:b/>
          <w:bCs/>
        </w:rPr>
        <w:t xml:space="preserve">:  </w:t>
      </w:r>
      <w:r>
        <w:t xml:space="preserve">the HbA1c effect size (and variance for the effect size) calculated based the post-HbA1c measure or the pre-post change in HbA1c measure.</w:t>
      </w:r>
    </w:p>
    <w:p w14:paraId="50400A78" w14:textId="5B6D97E3" w:rsidR="00F153DE" w:rsidRDefault="00E879E0" w:rsidP="002957EE">
      <w:r>
        <w:rPr>
          <w:rFonts w:ascii="Menlo" w:hAnsi="Menlo" w:cs="Menlo"/>
          <w:b/>
          <w:bCs/>
        </w:rPr>
        <w:t>crossoverrho1</w:t>
      </w:r>
      <w:r>
        <w:rPr>
          <w:b/>
          <w:bCs/>
        </w:rPr>
        <w:t xml:space="preserve">:  </w:t>
      </w:r>
      <w:r>
        <w:t xml:space="preserve">Crossoverrho1 is 0 for parallel trials, 1 for cross-over trials where only the first period was included in the Cochrane analysis. Values between 0 and -1 or between 0 and +1 are the estimates of the correlation of either post-HbA1c responses or pre-post-responses in Hba1c in cross-over trials.  </w:t>
      </w:r>
    </w:p>
    <w:p w14:paraId="77D8E658" w14:textId="188C3F38" w:rsidR="000E6651" w:rsidRPr="000E6651" w:rsidRDefault="00B30CB7" w:rsidP="002957EE">
      <w:r>
        <w:rPr>
          <w:rFonts w:ascii="Menlo" w:hAnsi="Menlo" w:cs="Menlo"/>
          <w:b/>
          <w:bCs/>
        </w:rPr>
        <w:t>r1-r2, a1-a12, b1-b22</w:t>
      </w:r>
      <w:r>
        <w:rPr>
          <w:b/>
          <w:bCs/>
        </w:rPr>
        <w:t xml:space="preserve">: </w:t>
      </w:r>
      <w:r>
        <w:t xml:space="preserve">QUALITY of RANDOMIZATION, ASCERTAINMENT and BLINDING: Each included Cochrane review had a risk of bias summary for the 305 studies which reported on the HbA1c response to interventions.  The risk of bias scores were the Cochrane review authors' judgements about each risk of bias item.  There were three possible ratings for bias: (1) Low risk of bias, (2) Unclear risk of bias, and (3) High risk of bias.  High, unclear, and low risk of bias were given a score of 0, 1, and 2. Three risk of bias measures were abstracted: randomization (variables r1 and r2), ascertainment (variables a1 through a12), and blinding (variables b1 through b22.  The variables random_qualit, </w:t>
        <w:lastRenderedPageBreak/>
        <w:t xml:space="preserve">blinding quality, and ascertainment are the means of respectively r1-r2, a1-a12, and b1-b22.</w:t>
      </w:r>
    </w:p>
    <w:p w14:paraId="1EE51452" w14:textId="1F71DE7A" w:rsidR="000E6651" w:rsidRPr="00B910F8" w:rsidRDefault="00B30CB7" w:rsidP="000E6651">
      <w:pPr>
        <w:rPr>
          <w:b/>
          <w:bCs/>
        </w:rPr>
      </w:pPr>
      <w:r>
        <w:rPr>
          <w:rFonts w:ascii="Menlo" w:hAnsi="Menlo" w:cs="Menlo"/>
          <w:b/>
          <w:bCs/>
        </w:rPr>
        <w:t>numb_authors</w:t>
      </w:r>
      <w:r>
        <w:rPr>
          <w:b/>
          <w:bCs/>
        </w:rPr>
        <w:t xml:space="preserve">:  </w:t>
      </w:r>
      <w:r>
        <w:t xml:space="preserve">The number of authors. The number of authors for the author list of the PMIDs was determined with a SAS program and were listed as missing for Authors listed as "NN304-3614","NCT00801164", "NN304-1337", "NCT00687453", and “Z015”.</w:t>
      </w:r>
    </w:p>
    <w:p w14:paraId="24CD5859" w14:textId="7A4ED1D2" w:rsidR="000E6651" w:rsidRPr="00B910F8" w:rsidRDefault="00B30CB7" w:rsidP="000E6651">
      <w:pPr>
        <w:rPr>
          <w:b/>
          <w:bCs/>
        </w:rPr>
      </w:pPr>
      <w:r>
        <w:rPr>
          <w:rFonts w:ascii="Menlo" w:hAnsi="Menlo" w:cs="Menlo"/>
          <w:b/>
          <w:bCs/>
        </w:rPr>
        <w:t>sample_size</w:t>
      </w:r>
      <w:r>
        <w:rPr>
          <w:b/>
          <w:bCs/>
        </w:rPr>
        <w:t xml:space="preserve">: </w:t>
      </w:r>
      <w:r>
        <w:t xml:space="preserve">The sample sizes and number of treatment arms was derived from the baseline data table reported (typically table 1 or 2 in the published study).  This baseline data table was abstracted when available for each of the 305 clinical studies to calculate the Carlisle-Stouffer-Fisher statistic. The sample size and number of trial arms were calculated based on the first baseline variable abstracted in each of the 305 studies.  These calculated sample sizes and number of treatment arms may differ from Cochrane reviews for two reasons:</w:t>
      </w:r>
    </w:p>
    <w:p w14:paraId="74C31BE1" w14:textId="77777777" w:rsidR="000E6651" w:rsidRDefault="000E6651" w:rsidP="000E6651">
      <w:pPr>
        <w:pStyle w:val="ListParagraph"/>
        <w:numPr>
          <w:ilvl w:val="0"/>
          <w:numId w:val="2"/>
        </w:numPr>
      </w:pPr>
      <w:r>
        <w:t xml:space="preserve">Cochrane reviews may report on a subset of treatment comparisons reported on in the publication.  </w:t>
      </w:r>
    </w:p>
    <w:p w14:paraId="7C1186DD" w14:textId="77777777" w:rsidR="000E6651" w:rsidRDefault="000E6651" w:rsidP="000E6651">
      <w:pPr>
        <w:pStyle w:val="ListParagraph"/>
        <w:numPr>
          <w:ilvl w:val="0"/>
          <w:numId w:val="2"/>
        </w:numPr>
      </w:pPr>
      <w:r>
        <w:t xml:space="preserve">Cochrane reviews, the abstracted publication, and our data on the sample size of the number participants analyzed can differ because of differences in reporting on number of participants randomized, number of participants presented in a per protocol analysis, and number of participants presented in an intention-to-treat (ITT) analysis.</w:t>
      </w:r>
    </w:p>
    <w:p w14:paraId="66C22081" w14:textId="53EA5EA3" w:rsidR="000E6651" w:rsidRPr="000E6651" w:rsidRDefault="000E6651" w:rsidP="002957EE">
      <w:r>
        <w:rPr>
          <w:rFonts w:ascii="Menlo" w:hAnsi="Menlo" w:cs="Menlo"/>
          <w:b/>
          <w:bCs/>
        </w:rPr>
        <w:t>notes_SS</w:t>
      </w:r>
      <w:r>
        <w:rPr>
          <w:b/>
          <w:bCs/>
        </w:rPr>
        <w:t>:</w:t>
      </w:r>
      <w:r>
        <w:t xml:space="preserve"> Detailed descriptions on sample sizes</w:t>
      </w:r>
    </w:p>
    <w:p w14:paraId="333F6649" w14:textId="5787A954" w:rsidR="00B30CB7" w:rsidRDefault="00B30CB7" w:rsidP="002957EE">
      <w:r>
        <w:rPr>
          <w:rFonts w:ascii="Menlo" w:hAnsi="Menlo" w:cs="Menlo"/>
          <w:b/>
          <w:bCs/>
        </w:rPr>
        <w:t>nGroups</w:t>
      </w:r>
      <w:r>
        <w:rPr>
          <w:b/>
          <w:bCs/>
        </w:rPr>
        <w:t xml:space="preserve">: </w:t>
      </w:r>
      <w:r>
        <w:t xml:space="preserve">The number of treatment contrasts reported on in the publication.  The number of treatment contrasts reported on in publications can differ from the number of treatment contrasts reported on in Cochrane reviews.  </w:t>
      </w:r>
    </w:p>
    <w:p w14:paraId="47281358" w14:textId="3AA3757A" w:rsidR="00613A01" w:rsidRPr="00AE13BA" w:rsidRDefault="00423EAF" w:rsidP="00613A01">
      <w:pPr>
        <w:rPr>
          <w:b/>
          <w:bCs/>
        </w:rPr>
      </w:pPr>
      <w:r>
        <w:rPr>
          <w:rFonts w:ascii="Menlo" w:hAnsi="Menlo" w:cs="Menlo"/>
          <w:b/>
          <w:bCs/>
        </w:rPr>
        <w:t>P_onesided</w:t>
      </w:r>
      <w:r>
        <w:rPr>
          <w:b/>
          <w:bCs/>
        </w:rPr>
        <w:t xml:space="preserve">: </w:t>
      </w:r>
      <w:r>
        <w:t xml:space="preserve">The probability that the reported baseline measurements across trial arms is consistent with randomization calculated with the Carlisle-Stouffer-Fischer statistic </w:t>
        <w:fldChar w:fldCharType="begin"/>
        <w:instrText xml:space="preserve"> ADDIN EN.CITE &lt;EndNote&gt;&lt;Cite&gt;&lt;Author&gt;Carlisle&lt;/Author&gt;&lt;Year&gt;2017&lt;/Year&gt;&lt;RecNum&gt;472&lt;/RecNum&gt;&lt;DisplayText&gt;[5]&lt;/DisplayText&gt;&lt;record&gt;&lt;rec-number&gt;472&lt;/rec-number&gt;&lt;foreign-keys&gt;&lt;key app="EN" db-id="srxatpex69swagetw07xazpsfa9s0st9xzef" timestamp="1702664991"&gt;472&lt;/key&gt;&lt;/foreign-keys&gt;&lt;ref-type name="Journal Article"&gt;17&lt;/ref-type&gt;&lt;contributors&gt;&lt;authors&gt;&lt;author&gt;Carlisle, J. B.&lt;/author&gt;&lt;/authors&gt;&lt;/contributors&gt;&lt;auth-address&gt;Department of Anaesthesia, Peri-operative Medicine and Intensive Care, Torbay Hospital, UK.&lt;/auth-address&gt;&lt;titles&gt;&lt;title&gt;Data fabrication and other reasons for non-random sampling in 5087 randomised, controlled trials in anaesthetic and general medical journals&lt;/title&gt;&lt;secondary-title&gt;Anaesthesia&lt;/secondary-title&gt;&lt;/titles&gt;&lt;periodical&gt;&lt;full-title&gt;Anaesthesia&lt;/full-title&gt;&lt;/periodical&gt;&lt;pages&gt;944-952&lt;/pages&gt;&lt;volume&gt;72&lt;/volume&gt;&lt;number&gt;8&lt;/number&gt;&lt;keywords&gt;&lt;keyword&gt;*Anesthesia&lt;/keyword&gt;&lt;keyword&gt;*Periodicals as Topic&lt;/keyword&gt;&lt;keyword&gt;*Randomized Controlled Trials as Topic&lt;/keyword&gt;&lt;keyword&gt;Retraction of Publication as Topic&lt;/keyword&gt;&lt;keyword&gt;*Scientific Misconduct&lt;/keyword&gt;&lt;keyword&gt;data error&lt;/keyword&gt;&lt;keyword&gt;fraud&lt;/keyword&gt;&lt;keyword&gt;randomised, controlled trials&lt;/keyword&gt;&lt;/keywords&gt;&lt;dates&gt;&lt;year&gt;2017&lt;/year&gt;&lt;pub-dates&gt;&lt;date&gt;Aug&lt;/date&gt;&lt;/pub-dates&gt;&lt;/dates&gt;&lt;isbn&gt;1365-2044 (Electronic)&amp;#xD;0003-2409 (Linking)&lt;/isbn&gt;&lt;accession-num&gt;28580651&lt;/accession-num&gt;&lt;urls&gt;&lt;related-urls&gt;&lt;url&gt;https://www.ncbi.nlm.nih.gov/pubmed/28580651&lt;/url&gt;&lt;/related-urls&gt;&lt;/urls&gt;&lt;electronic-resource-num&gt;10.1111/anae.13938&lt;/electronic-resource-num&gt;&lt;/record&gt;&lt;/Cite&gt;&lt;/EndNote&gt;</w:instrText>
        <w:fldChar w:fldCharType="separate"/>
      </w:r>
      <w:r>
        <w:rPr>
          <w:noProof/>
        </w:rPr>
        <w:t>[5]</w:t>
      </w:r>
      <w:r>
        <w:fldChar w:fldCharType="end"/>
        <w:t>.  Value is missing when no baseline data were reported.</w:t>
      </w:r>
    </w:p>
    <w:p w14:paraId="72442911" w14:textId="77777777" w:rsidR="00613A01" w:rsidRPr="00AE13BA" w:rsidRDefault="00613A01" w:rsidP="00613A01">
      <w:r>
        <w:rPr>
          <w:rFonts w:ascii="Menlo" w:hAnsi="Menlo" w:cs="Menlo"/>
          <w:b/>
          <w:bCs/>
        </w:rPr>
        <w:t>LnCVR</w:t>
      </w:r>
      <w:r>
        <w:rPr>
          <w:b/>
          <w:bCs/>
        </w:rPr>
        <w:t xml:space="preserve">: </w:t>
      </w:r>
      <w:r>
        <w:t xml:space="preserve">The Log Coefficient of Variation Ratio.</w:t>
      </w:r>
    </w:p>
    <w:p w14:paraId="0DA6F9D7" w14:textId="631EDF0C" w:rsidR="00613A01" w:rsidRDefault="00423EAF" w:rsidP="00613A01">
      <w:r>
        <w:rPr>
          <w:rFonts w:ascii="Menlo" w:hAnsi="Menlo" w:cs="Menlo"/>
          <w:b/>
          <w:bCs/>
        </w:rPr>
        <w:t>var_LnCVR</w:t>
      </w:r>
      <w:r>
        <w:rPr>
          <w:b/>
          <w:bCs/>
        </w:rPr>
        <w:t xml:space="preserve">: </w:t>
      </w:r>
      <w:r>
        <w:t xml:space="preserve">The variance of the Log Coefficient of Variation Ratio.</w:t>
      </w:r>
    </w:p>
    <w:p w14:paraId="69AF3E9F" w14:textId="47931D60" w:rsidR="00613A01" w:rsidRPr="00613A01" w:rsidRDefault="00423EAF" w:rsidP="00613A01">
      <w:r>
        <w:rPr>
          <w:rFonts w:ascii="Menlo" w:hAnsi="Menlo" w:cs="Menlo"/>
          <w:b/>
          <w:bCs/>
        </w:rPr>
        <w:t>lncvrsigma</w:t>
      </w:r>
      <w:r>
        <w:rPr>
          <w:b/>
          <w:bCs/>
        </w:rPr>
        <w:t xml:space="preserve">: </w:t>
      </w:r>
      <w:r>
        <w:t>Indicator variable for LnCVR that exceeds the 3 sigma bounds</w:t>
      </w:r>
    </w:p>
    <w:p w14:paraId="14914ED1" w14:textId="0C948610" w:rsidR="00613A01" w:rsidRPr="00613A01" w:rsidRDefault="00613A01" w:rsidP="00613A01">
      <w:pPr>
        <w:rPr>
          <w:b/>
          <w:bCs/>
        </w:rPr>
      </w:pPr>
      <w:r>
        <w:rPr>
          <w:rFonts w:ascii="Menlo" w:hAnsi="Menlo" w:cs="Menlo"/>
          <w:b/>
          <w:bCs/>
        </w:rPr>
        <w:t>sigma_lncvr</w:t>
      </w:r>
      <w:r>
        <w:rPr>
          <w:b/>
          <w:bCs/>
        </w:rPr>
        <w:t>:</w:t>
      </w:r>
      <w:r>
        <w:t xml:space="preserve"> Indicator variable whether LnCVR that exceeds the 3 sigma bounds is a 3-sigma, 4-sigma, 5 sigma, or 6+ sigma outlier</w:t>
      </w:r>
    </w:p>
    <w:p w14:paraId="07B82CE3" w14:textId="77777777" w:rsidR="00423EAF" w:rsidRDefault="00613A01" w:rsidP="00613A01">
      <w:r>
        <w:rPr>
          <w:rFonts w:ascii="Menlo" w:hAnsi="Menlo" w:cs="Menlo"/>
          <w:b/>
          <w:bCs/>
        </w:rPr>
        <w:t>effectsigma</w:t>
      </w:r>
      <w:r>
        <w:rPr>
          <w:b/>
          <w:bCs/>
        </w:rPr>
        <w:t xml:space="preserve">: </w:t>
      </w:r>
      <w:r>
        <w:t xml:space="preserve">Indicator variable for a 3-sigma outlier in HbA1c effect size </w:t>
      </w:r>
    </w:p>
    <w:p w14:paraId="5598C79A" w14:textId="46EB5067" w:rsidR="00613A01" w:rsidRDefault="00423EAF" w:rsidP="00613A01">
      <w:r>
        <w:rPr>
          <w:rFonts w:ascii="Menlo" w:hAnsi="Menlo" w:cs="Menlo"/>
          <w:b/>
          <w:bCs/>
        </w:rPr>
        <w:lastRenderedPageBreak/>
        <w:t>placebo</w:t>
      </w:r>
      <w:r>
        <w:t xml:space="preserve">: The label placebo was extracted from the forest plots in the Cochrane review for the intervention and the control arm of the trial.  </w:t>
      </w:r>
    </w:p>
    <w:p w14:paraId="0716B7F1" w14:textId="7F6131BA" w:rsidR="00F153DE" w:rsidRPr="00F153DE" w:rsidRDefault="00423EAF" w:rsidP="00613A01">
      <w:r>
        <w:rPr>
          <w:rFonts w:ascii="Menlo" w:hAnsi="Menlo" w:cs="Menlo"/>
          <w:b/>
          <w:bCs/>
        </w:rPr>
        <w:t>pubmed</w:t>
      </w:r>
      <w:r>
        <w:rPr>
          <w:b/>
          <w:bCs/>
        </w:rPr>
        <w:t xml:space="preserve">: </w:t>
      </w:r>
      <w:r>
        <w:t>Indicator variable whether included trial is indexed in PubMed.</w:t>
      </w:r>
    </w:p>
    <w:p w14:paraId="098A722F" w14:textId="21A05C1E" w:rsidR="004F5C79" w:rsidRPr="00423EAF" w:rsidRDefault="004F5C79" w:rsidP="004F5C79">
      <w:pPr>
        <w:rPr>
          <w:b/>
          <w:bCs/>
        </w:rPr>
      </w:pPr>
      <w:r>
        <w:rPr>
          <w:rFonts w:ascii="Menlo" w:hAnsi="Menlo" w:cs="Menlo"/>
          <w:b/>
          <w:bCs/>
        </w:rPr>
        <w:t>CochraneID</w:t>
      </w:r>
      <w:r>
        <w:rPr>
          <w:b/>
          <w:bCs/>
        </w:rPr>
        <w:t xml:space="preserve">: </w:t>
      </w:r>
      <w:r>
        <w:t xml:space="preserve">The PubMed ID for the most recent Cochrane review which included the clinical trial.  </w:t>
      </w:r>
    </w:p>
    <w:p w14:paraId="2F2A1E9D" w14:textId="1A14D86B" w:rsidR="001E0EB6" w:rsidRPr="0085657A" w:rsidRDefault="001E0EB6" w:rsidP="001E0EB6">
      <w:pPr>
        <w:rPr>
          <w:b/>
          <w:bCs/>
        </w:rPr>
      </w:pPr>
      <w:r>
        <w:rPr>
          <w:rFonts w:ascii="Menlo" w:hAnsi="Menlo" w:cs="Menlo"/>
          <w:b/>
          <w:bCs/>
        </w:rPr>
        <w:t>Cochrane_first_author</w:t>
      </w:r>
      <w:r>
        <w:rPr>
          <w:b/>
          <w:bCs/>
        </w:rPr>
        <w:t xml:space="preserve">: </w:t>
      </w:r>
      <w:r>
        <w:t xml:space="preserve">The first author of the most recent Cochrane review</w:t>
      </w:r>
      <w:r>
        <w:rPr>
          <w:i/>
          <w:iCs/>
        </w:rPr>
        <w:t>.</w:t>
      </w:r>
    </w:p>
    <w:p w14:paraId="37B43415" w14:textId="40C52CDB" w:rsidR="004F5C79" w:rsidRPr="00423EAF" w:rsidRDefault="004F5C79" w:rsidP="001E0EB6">
      <w:pPr>
        <w:rPr>
          <w:b/>
          <w:bCs/>
        </w:rPr>
      </w:pPr>
      <w:r>
        <w:rPr>
          <w:rFonts w:ascii="Menlo" w:hAnsi="Menlo" w:cs="Menlo"/>
          <w:b/>
          <w:bCs/>
        </w:rPr>
        <w:t>Cochrane_title</w:t>
      </w:r>
      <w:r>
        <w:rPr>
          <w:b/>
          <w:bCs/>
        </w:rPr>
        <w:t xml:space="preserve">: </w:t>
      </w:r>
      <w:r>
        <w:t>The title of the most recent Cochrane review which included the clinical trial.</w:t>
      </w:r>
    </w:p>
    <w:p w14:paraId="1B1A447F" w14:textId="29FBBF32" w:rsidR="004F5C79" w:rsidRDefault="004F5C79" w:rsidP="001E0EB6">
      <w:r>
        <w:rPr>
          <w:rFonts w:ascii="Menlo" w:hAnsi="Menlo" w:cs="Menlo"/>
          <w:b/>
          <w:bCs/>
        </w:rPr>
        <w:t>Cochrane_Citation</w:t>
      </w:r>
      <w:r>
        <w:rPr>
          <w:b/>
          <w:bCs/>
        </w:rPr>
        <w:t xml:space="preserve">: </w:t>
      </w:r>
      <w:r>
        <w:t>The citation of the most recent Cochrane review which included the clinical trial.</w:t>
      </w:r>
    </w:p>
    <w:p w14:paraId="0CA0CF39" w14:textId="39B454A5" w:rsidR="009D2B96" w:rsidRPr="00423EAF" w:rsidRDefault="009D2B96" w:rsidP="001E0EB6">
      <w:pPr>
        <w:rPr>
          <w:b/>
          <w:bCs/>
        </w:rPr>
      </w:pPr>
      <w:r>
        <w:rPr>
          <w:rFonts w:ascii="Menlo" w:hAnsi="Menlo" w:cs="Menlo"/>
          <w:b/>
          <w:bCs/>
        </w:rPr>
        <w:t>Cochrane_Publication_Year</w:t>
      </w:r>
      <w:r>
        <w:rPr>
          <w:b/>
          <w:bCs/>
        </w:rPr>
        <w:t xml:space="preserve">: </w:t>
      </w:r>
      <w:r>
        <w:t xml:space="preserve">The publication year of the most recent Cochrane review which included the clinical trial.</w:t>
      </w:r>
    </w:p>
    <w:p w14:paraId="69CB62A5" w14:textId="1ECF6BB9" w:rsidR="001A0BD0" w:rsidRPr="00423EAF" w:rsidRDefault="001E0EB6" w:rsidP="001E0EB6">
      <w:pPr>
        <w:rPr>
          <w:b/>
          <w:bCs/>
        </w:rPr>
      </w:pPr>
      <w:r>
        <w:rPr>
          <w:rFonts w:ascii="Menlo" w:hAnsi="Menlo" w:cs="Menlo"/>
          <w:b/>
          <w:bCs/>
        </w:rPr>
        <w:t>CochraneID1</w:t>
      </w:r>
      <w:r>
        <w:rPr>
          <w:b/>
          <w:bCs/>
        </w:rPr>
        <w:t xml:space="preserve">: </w:t>
      </w:r>
      <w:r>
        <w:t>The PubMed ID for the most recent Cochrane review which included the clinical trial.</w:t>
      </w:r>
    </w:p>
    <w:p w14:paraId="6D6618E8" w14:textId="083549E9" w:rsidR="001A0BD0" w:rsidRPr="00423EAF" w:rsidRDefault="001E0EB6" w:rsidP="001E0EB6">
      <w:pPr>
        <w:rPr>
          <w:b/>
          <w:bCs/>
        </w:rPr>
      </w:pPr>
      <w:r>
        <w:rPr>
          <w:rFonts w:ascii="Menlo" w:hAnsi="Menlo" w:cs="Menlo"/>
          <w:b/>
          <w:bCs/>
        </w:rPr>
        <w:t>CochraneID2</w:t>
      </w:r>
      <w:r>
        <w:rPr>
          <w:b/>
          <w:bCs/>
        </w:rPr>
        <w:t xml:space="preserve">: </w:t>
      </w:r>
      <w:r>
        <w:t xml:space="preserve">The PubMed ID for the 1</w:t>
      </w:r>
      <w:r>
        <w:rPr>
          <w:vertAlign w:val="superscript"/>
        </w:rPr>
        <w:t>st</w:t>
      </w:r>
      <w:r>
        <w:t xml:space="preserve"> preceding Cochrane review which included the clinical trial.</w:t>
      </w:r>
    </w:p>
    <w:p w14:paraId="033AAB31" w14:textId="5BE6D3D8" w:rsidR="001A0BD0" w:rsidRPr="00423EAF" w:rsidRDefault="001E0EB6" w:rsidP="001E0EB6">
      <w:pPr>
        <w:rPr>
          <w:b/>
          <w:bCs/>
        </w:rPr>
      </w:pPr>
      <w:r>
        <w:rPr>
          <w:rFonts w:ascii="Menlo" w:hAnsi="Menlo" w:cs="Menlo"/>
          <w:b/>
          <w:bCs/>
        </w:rPr>
        <w:t>CochraneID3</w:t>
      </w:r>
      <w:r>
        <w:rPr>
          <w:b/>
          <w:bCs/>
        </w:rPr>
        <w:t xml:space="preserve">: </w:t>
      </w:r>
      <w:r>
        <w:t xml:space="preserve">The PubMed ID for the 2nd preceding Cochrane review which included the clinical trial.</w:t>
      </w:r>
    </w:p>
    <w:p w14:paraId="5BCB2A5C" w14:textId="193E35CF" w:rsidR="003A3004" w:rsidRDefault="005A1A20" w:rsidP="00315AD5">
      <w:r>
        <w:rPr>
          <w:rFonts w:ascii="Menlo" w:hAnsi="Menlo" w:cs="Menlo"/>
          <w:b/>
          <w:bCs/>
        </w:rPr>
        <w:t>origin_data</w:t>
      </w:r>
      <w:r>
        <w:rPr>
          <w:b/>
          <w:bCs/>
        </w:rPr>
        <w:t xml:space="preserve">: </w:t>
      </w:r>
      <w:r>
        <w:t xml:space="preserve">Origin of the data (published versus unpublished study). The R E F E R E N C E S section of the Cochrane reviews list the references to studies included in this review.  For each study, the study name and date in bold is followed by </w:t>
      </w:r>
      <w:r>
        <w:rPr>
          <w:i/>
          <w:iCs/>
        </w:rPr>
        <w:t xml:space="preserve">{published data only} </w:t>
      </w:r>
      <w:r>
        <w:t xml:space="preserve">or </w:t>
      </w:r>
      <w:r>
        <w:rPr>
          <w:i/>
          <w:iCs/>
        </w:rPr>
        <w:t xml:space="preserve">{published and unpublished data}. </w:t>
      </w:r>
      <w:r>
        <w:t xml:space="preserve">This information on the origin of the data was abstracted.</w:t>
      </w:r>
    </w:p>
    <w:p w14:paraId="5DCB1680" w14:textId="0AF2DEFB" w:rsidR="003418C1" w:rsidRDefault="003F3628" w:rsidP="000E7DDE">
      <w:r>
        <w:t xml:space="preserve">For 21 trials the Cochrane classification was changed from “published only” to “published and unpublished”.  The PMID of these studies are: 1,9083709,8741812, 16715577, 12809451, -1100, 18959604, 15642076, -55, 16732007, 17011662, 14578243, 11315821, 19526210, 16456680, 12734781, -1400, -1500, 11544612, 11131100, 12757987. </w:t>
      </w:r>
    </w:p>
    <w:p w14:paraId="2E4B1E3E" w14:textId="2688A452" w:rsidR="002B5597" w:rsidRPr="0085657A" w:rsidRDefault="003418C1" w:rsidP="002B5597">
      <w:r>
        <w:t xml:space="preserve">The reason for this reclassification is that these 21 trials included in two Cochrane reviews relied on unpublished data obtained from the pharmaceutical companies by the Institut für Qualität und Wirtschaftlichkeit im Gesundheitswesen (IQWiG).  This change lead to a constant definition of “published and unpublished” data across Cochrane reviews. </w:t>
      </w:r>
    </w:p>
    <w:p w14:paraId="7688D509" w14:textId="4DC25C66" w:rsidR="00565C7C" w:rsidRPr="00F153DE" w:rsidRDefault="00BE3C26" w:rsidP="003F448B">
      <w:pPr>
        <w:rPr>
          <w:rFonts w:ascii="Aptos Narrow" w:eastAsia="Times New Roman" w:hAnsi="Aptos Narrow" w:cs="Times New Roman"/>
          <w:color w:val="000000"/>
          <w:kern w:val="0"/>
          <w:sz w:val="22"/>
          <w:szCs w:val="22"/>
          <w14:ligatures w14:val="none"/>
        </w:rPr>
      </w:pPr>
      <w:r>
        <w:rPr>
          <w:rFonts w:ascii="Menlo" w:hAnsi="Menlo" w:cs="Menlo"/>
          <w:b/>
          <w:bCs/>
        </w:rPr>
        <w:lastRenderedPageBreak/>
        <w:t>Country</w:t>
      </w:r>
      <w:r>
        <w:rPr>
          <w:rFonts w:ascii="Aptos Narrow" w:eastAsia="Times New Roman" w:hAnsi="Aptos Narrow" w:cs="Times New Roman"/>
          <w:color w:val="000000"/>
          <w:kern w:val="0"/>
          <w:sz w:val="22"/>
          <w:szCs w:val="22"/>
          <w14:ligatures w14:val="none"/>
        </w:rPr>
        <w:t xml:space="preserve">: </w:t>
      </w:r>
      <w:r>
        <w:t xml:space="preserve">The country where the study was conducted or the country where the authors were affiliated was abstracted from the Cochrane report or from the publications.  Studies conducted in more than one country were classified as multi-country. One Cochrane report {Gnesin, 2020 #428} indicated that a surprisingly large number of studies do not report in which country studies were conducted (e.g., Bilezikian 2013; Erem 2014; Kiyici 2009; Onuchin 2010; Pfützner2011; Schernthaner 2004; Schweizer 2007). We reported the country as the country where the primary author resided if the country in which the study was conducted was not available.</w:t>
      </w:r>
    </w:p>
    <w:p w14:paraId="1F472BC0" w14:textId="1BEAE91A" w:rsidR="000E5596" w:rsidRPr="000E5596" w:rsidRDefault="000E5596" w:rsidP="000E5596">
      <w:pPr>
        <w:rPr>
          <w:rFonts w:cs="Menlo"/>
        </w:rPr>
      </w:pPr>
      <w:r>
        <w:rPr>
          <w:rFonts w:ascii="Menlo" w:hAnsi="Menlo" w:cs="Menlo"/>
          <w:b/>
          <w:bCs/>
        </w:rPr>
        <w:t>notes</w:t>
      </w:r>
      <w:r>
        <w:rPr>
          <w:rFonts w:ascii="Menlo" w:hAnsi="Menlo" w:cs="Menlo"/>
        </w:rPr>
        <w:t xml:space="preserve">: </w:t>
      </w:r>
      <w:r>
        <w:rPr>
          <w:rFonts w:cs="Menlo"/>
        </w:rPr>
        <w:t>Funding details.</w:t>
      </w:r>
    </w:p>
    <w:p w14:paraId="156EA535" w14:textId="4DF5F60A" w:rsidR="006F1932" w:rsidRPr="00F153DE" w:rsidRDefault="00423EAF" w:rsidP="006F1932">
      <w:pPr>
        <w:rPr>
          <w:b/>
          <w:bCs/>
        </w:rPr>
      </w:pPr>
      <w:r>
        <w:rPr>
          <w:rFonts w:ascii="Menlo" w:hAnsi="Menlo" w:cs="Menlo"/>
          <w:b/>
          <w:bCs/>
        </w:rPr>
        <w:t>funding</w:t>
      </w:r>
      <w:r>
        <w:rPr>
          <w:b/>
          <w:bCs/>
        </w:rPr>
        <w:t xml:space="preserve">: </w:t>
      </w:r>
      <w:r>
        <w:t>We classified each study into one of four mutually exclusive categories using the following decision rules:</w:t>
      </w:r>
    </w:p>
    <w:p w14:paraId="7499E233" w14:textId="77777777" w:rsidR="006F1932" w:rsidRDefault="006F1932" w:rsidP="006F1932">
      <w:pPr>
        <w:pStyle w:val="ListParagraph"/>
        <w:numPr>
          <w:ilvl w:val="0"/>
          <w:numId w:val="2"/>
        </w:numPr>
      </w:pPr>
      <w:r>
        <w:t xml:space="preserve">Commercial: Only a commercial funding source was listed.  </w:t>
      </w:r>
    </w:p>
    <w:p w14:paraId="5EE47AF4" w14:textId="77777777" w:rsidR="006F1932" w:rsidRDefault="006F1932" w:rsidP="006F1932">
      <w:pPr>
        <w:pStyle w:val="ListParagraph"/>
        <w:numPr>
          <w:ilvl w:val="0"/>
          <w:numId w:val="2"/>
        </w:numPr>
      </w:pPr>
      <w:r>
        <w:t xml:space="preserve">Non-commercial: Only a non-commercial funding source (excluding self-funding) was listed.  </w:t>
      </w:r>
    </w:p>
    <w:p w14:paraId="01C5F6B4" w14:textId="77777777" w:rsidR="006F1932" w:rsidRDefault="006F1932" w:rsidP="006F1932">
      <w:pPr>
        <w:pStyle w:val="ListParagraph"/>
        <w:numPr>
          <w:ilvl w:val="0"/>
          <w:numId w:val="2"/>
        </w:numPr>
      </w:pPr>
      <w:r>
        <w:t xml:space="preserve">Both: Both commercial and non-commercial funding sources were listed.  </w:t>
      </w:r>
    </w:p>
    <w:p w14:paraId="444CFED6" w14:textId="030E1544" w:rsidR="006F1932" w:rsidRPr="006F1932" w:rsidRDefault="006F1932" w:rsidP="006F1932">
      <w:pPr>
        <w:pStyle w:val="ListParagraph"/>
        <w:numPr>
          <w:ilvl w:val="0"/>
          <w:numId w:val="2"/>
        </w:numPr>
      </w:pPr>
      <w:r>
        <w:t>Not reported or self-supported: No funding source was reported, or the study was explicitly supported by the investigators themselves.</w:t>
      </w:r>
    </w:p>
    <w:p w14:paraId="632277AE" w14:textId="241C0DD9" w:rsidR="006F1932" w:rsidRDefault="006F1932" w:rsidP="005A1A20">
      <w:r>
        <w:t xml:space="preserve">When available, Cochrane reviews provided a yes/no interpretation of commercial or non-commercial funding. We adopted this classification for all studies except Skogsberg (2008), where Cochrane reported “COMMERCIAL FUNDING: No” despite partial funding from “Novo Nordisk Scandinavia and Roche Diagnostics, Sweden.” We overrode this and classified it as COMMERCIAL FUNDING: Yes. Many Cochrane reviews did not provide explicit yes/no judgments and instead described funding sources. In such cases, we applied the classification rules outlined below.</w:t>
      </w:r>
    </w:p>
    <w:p w14:paraId="28DD6E34" w14:textId="25F5B73C" w:rsidR="006F1932" w:rsidRDefault="006F1932" w:rsidP="006F1932">
      <w:r>
        <w:t xml:space="preserve">Classification of “Not Reported or Self-Supported” for funding.  Cochrane reviews used varied terminology for unreported or self-funded studies. We interpreted the following statements as not reported or self-supported:</w:t>
      </w:r>
    </w:p>
    <w:p w14:paraId="098B4B03" w14:textId="77777777" w:rsidR="006F1932" w:rsidRDefault="006F1932" w:rsidP="006F1932">
      <w:pPr>
        <w:pStyle w:val="ListParagraph"/>
        <w:numPr>
          <w:ilvl w:val="0"/>
          <w:numId w:val="2"/>
        </w:numPr>
      </w:pPr>
      <w:r>
        <w:t xml:space="preserve">(Non)commercial funding: not reported / not stated  </w:t>
      </w:r>
    </w:p>
    <w:p w14:paraId="6DC50593" w14:textId="77777777" w:rsidR="006F1932" w:rsidRDefault="006F1932" w:rsidP="006F1932">
      <w:pPr>
        <w:pStyle w:val="ListParagraph"/>
        <w:numPr>
          <w:ilvl w:val="0"/>
          <w:numId w:val="2"/>
        </w:numPr>
      </w:pPr>
      <w:r>
        <w:t xml:space="preserve">Publication does not report funding source  </w:t>
      </w:r>
    </w:p>
    <w:p w14:paraId="7ACE1911" w14:textId="77777777" w:rsidR="006F1932" w:rsidRDefault="006F1932" w:rsidP="006F1932">
      <w:pPr>
        <w:pStyle w:val="ListParagraph"/>
        <w:numPr>
          <w:ilvl w:val="0"/>
          <w:numId w:val="2"/>
        </w:numPr>
      </w:pPr>
      <w:r>
        <w:t xml:space="preserve">COMMERCIAL FUNDING: Not reported / NON-COMMERCIAL FUNDING: Not reported  </w:t>
      </w:r>
    </w:p>
    <w:p w14:paraId="2C27ADE8" w14:textId="77777777" w:rsidR="006F1932" w:rsidRDefault="006F1932" w:rsidP="006F1932">
      <w:pPr>
        <w:pStyle w:val="ListParagraph"/>
        <w:numPr>
          <w:ilvl w:val="0"/>
          <w:numId w:val="2"/>
        </w:numPr>
      </w:pPr>
      <w:r>
        <w:t xml:space="preserve">“Source of support: Nil”  </w:t>
      </w:r>
    </w:p>
    <w:p w14:paraId="27D863B4" w14:textId="77777777" w:rsidR="006F1932" w:rsidRDefault="006F1932" w:rsidP="006F1932">
      <w:pPr>
        <w:pStyle w:val="ListParagraph"/>
        <w:numPr>
          <w:ilvl w:val="0"/>
          <w:numId w:val="2"/>
        </w:numPr>
      </w:pPr>
      <w:r>
        <w:t xml:space="preserve">“Funding source: not reported” (with or without conflict-of-interest statements)  </w:t>
      </w:r>
    </w:p>
    <w:p w14:paraId="7D397C07" w14:textId="77777777" w:rsidR="006F1932" w:rsidRDefault="006F1932" w:rsidP="006F1932">
      <w:pPr>
        <w:pStyle w:val="ListParagraph"/>
        <w:numPr>
          <w:ilvl w:val="0"/>
          <w:numId w:val="2"/>
        </w:numPr>
      </w:pPr>
      <w:r>
        <w:t xml:space="preserve">“Funding source: nil / none / none declared / none mentioned / not stated / unknown”  </w:t>
      </w:r>
    </w:p>
    <w:p w14:paraId="5E1A9FCF" w14:textId="77777777" w:rsidR="006F1932" w:rsidRDefault="006F1932" w:rsidP="006F1932">
      <w:pPr>
        <w:pStyle w:val="ListParagraph"/>
        <w:numPr>
          <w:ilvl w:val="0"/>
          <w:numId w:val="2"/>
        </w:numPr>
      </w:pPr>
      <w:r>
        <w:lastRenderedPageBreak/>
        <w:t xml:space="preserve">“No external funding”  </w:t>
      </w:r>
    </w:p>
    <w:p w14:paraId="785F6332" w14:textId="77777777" w:rsidR="006F1932" w:rsidRDefault="006F1932" w:rsidP="006F1932">
      <w:pPr>
        <w:pStyle w:val="ListParagraph"/>
        <w:numPr>
          <w:ilvl w:val="0"/>
          <w:numId w:val="2"/>
        </w:numPr>
      </w:pPr>
      <w:r>
        <w:t xml:space="preserve">“Funded by the authors”  </w:t>
      </w:r>
    </w:p>
    <w:p w14:paraId="6FE29541" w14:textId="77777777" w:rsidR="006F1932" w:rsidRDefault="006F1932" w:rsidP="006F1932">
      <w:pPr>
        <w:pStyle w:val="ListParagraph"/>
        <w:numPr>
          <w:ilvl w:val="0"/>
          <w:numId w:val="2"/>
        </w:numPr>
      </w:pPr>
      <w:r>
        <w:t xml:space="preserve">Funding: “-” (blank)  </w:t>
      </w:r>
    </w:p>
    <w:p w14:paraId="397A3AF5" w14:textId="77777777" w:rsidR="006F1932" w:rsidRDefault="006F1932" w:rsidP="006F1932">
      <w:pPr>
        <w:pStyle w:val="ListParagraph"/>
        <w:numPr>
          <w:ilvl w:val="0"/>
          <w:numId w:val="2"/>
        </w:numPr>
      </w:pPr>
      <w:r>
        <w:t xml:space="preserve">No details provided (even after checking the original publication, e.g., Recasens)  </w:t>
      </w:r>
    </w:p>
    <w:p w14:paraId="1B49EC52" w14:textId="0ECF158B" w:rsidR="006F1932" w:rsidRPr="006F1932" w:rsidRDefault="006F1932" w:rsidP="006F1932">
      <w:pPr>
        <w:pStyle w:val="ListParagraph"/>
        <w:numPr>
          <w:ilvl w:val="0"/>
          <w:numId w:val="2"/>
        </w:numPr>
      </w:pPr>
      <w:r>
        <w:t>Unclear or absent reporting (e.g., Yokoyama; Missouri Breaks Industries mentioned only for logistical support, not funding)</w:t>
      </w:r>
    </w:p>
    <w:p w14:paraId="0351E504" w14:textId="77777777" w:rsidR="008B00E1" w:rsidRDefault="006F1932" w:rsidP="006F1932">
      <w:r>
        <w:t>If Cochrane reported “not reported” but noted provision of free samples (e.g., drugs or devices), we retained the not reported classification unless the sample donor was a for-profit entity providing substantial in-kind support (see Special Cases).</w:t>
      </w:r>
    </w:p>
    <w:p w14:paraId="3F0BB6FB" w14:textId="3968E707" w:rsidR="008B00E1" w:rsidRDefault="006F1932" w:rsidP="006F1932">
      <w:r>
        <w:t xml:space="preserve">Verification Process: When Cochrane provided no funding information, we searched the original publication. If no funding details were found, the study was rated “not reported or self-supported” by PH. In cases where Cochrane data were unclear, blank, or implausible (e.g., “no funding source” reported for a large multinational trial such as ASIA), we verified funding by searching the publication or related sources. When Cochrane reviews omitted funding details for included studies, we independently searched those publications for funding information.</w:t>
      </w:r>
    </w:p>
    <w:p w14:paraId="3F89BF91" w14:textId="59873C48" w:rsidR="006F1932" w:rsidRPr="006F1932" w:rsidRDefault="006F1932" w:rsidP="005A1A20">
      <w:r>
        <w:t xml:space="preserve">Special Cases and Translation Rules: 1. Foundation funding with commercial ties: Studies funded by foundations linked to commercial entities (e.g., Novo Nordisk Foundation) were classified as commercial. Rationale: Collaboration with or benefit to the parent for-profit company (e.g., Novo Nordisk A/S) implies commercial interest. 2. Unrestricted grants from for-profit entities were classified as commercial. Rationale: Even if unrestricted, funding from pharmaceutical or biotech companies suggests potential commercial interest in research outcomes (e.g., unrestricted grant from Servier). 3. Donated equipment or drugs. Free equipment (e.g., glucose meters) from for-profit entities were classified as commercial. Free placebos or active drugs from for-profit entities in studies otherwise funded non-commercially were classified as non-commercial (unless the donation represented primary support). Equipment obtained at reduced cost from for-profit entities were classified as non-commercial.</w:t>
      </w:r>
    </w:p>
    <w:p>
      <w:r>
        <w:rPr>
          <w:rFonts w:ascii="Menlo" w:hAnsi="Menlo" w:cs="Menlo"/>
          <w:b/>
          <w:bCs/>
        </w:rPr>
        <w:t>duration</w:t>
      </w:r>
      <w:r>
        <w:rPr>
          <w:b/>
          <w:bCs/>
        </w:rPr>
        <w:t xml:space="preserve">: </w:t>
      </w:r>
      <w:r>
        <w:t xml:space="preserve">Duration of the trial, i.e., the length of the intervention period in months, as used in the trial-characteristics tables (Tables S1, 1, and S2) and the Firth logistic regression models (Tables 2 and S3). For cross-over trials this is the duration of the intervention rather than the total follow-up (see month).</w:t>
      </w:r>
    </w:p>
    <w:p>
      <w:r>
        <w:rPr>
          <w:rFonts w:ascii="Menlo" w:hAnsi="Menlo" w:cs="Menlo"/>
          <w:b/>
          <w:bCs/>
        </w:rPr>
        <w:t>correlation_available</w:t>
      </w:r>
      <w:r>
        <w:rPr>
          <w:b/>
          <w:bCs/>
        </w:rPr>
        <w:t xml:space="preserve">: </w:t>
      </w:r>
      <w:r>
        <w:t xml:space="preserve">Indicator variable (0/1) for whether a within-subject HbA1c correlation (ρ) could be recovered from the reported trial data (0 = HbA1c correlation not calculable, 1 = HbA1c correlation calculable). The 305 trials are stratified on this variable in Table S1; the 90 trials with correlation_available = 1 form the analysis set for Tables 1, 2, S2, and S3.</w:t>
      </w:r>
    </w:p>
    <w:p>
      <w:r>
        <w:rPr>
          <w:rFonts w:ascii="Menlo" w:hAnsi="Menlo" w:cs="Menlo"/>
          <w:b/>
          <w:bCs/>
        </w:rPr>
        <w:t>tukeycorrelation</w:t>
      </w:r>
      <w:r>
        <w:rPr>
          <w:b/>
          <w:bCs/>
        </w:rPr>
        <w:t xml:space="preserve">: </w:t>
      </w:r>
      <w:r>
        <w:t xml:space="preserve">Indicator variable (0/1) for whether the recovered HbA1c correlation is anomalous when anomalies are defined by Tukey inner fences (0 = non-anomalous ρ, 1 = anomalous ρ). This is the stratifying variable in Table 1 and the outcome in the Firth-penalized logistic regression of Table 2.</w:t>
      </w:r>
    </w:p>
    <w:p>
      <w:r>
        <w:rPr>
          <w:rFonts w:ascii="Menlo" w:hAnsi="Menlo" w:cs="Menlo"/>
          <w:b/>
          <w:bCs/>
        </w:rPr>
        <w:t>sigmacorrelation</w:t>
      </w:r>
      <w:r>
        <w:rPr>
          <w:b/>
          <w:bCs/>
        </w:rPr>
        <w:t xml:space="preserve">: </w:t>
      </w:r>
      <w:r>
        <w:t xml:space="preserve">Indicator variable (0/1) for whether the recovered HbA1c correlation is anomalous when anomalies are defined by parametric 3-sigma limits (0 = non-anomalous ρ, 1 = anomalous ρ). This is the stratifying variable in Table S2 and the outcome in the Firth-penalized logistic regression of Table S3, which parallel Tables 1 and 2.</w:t>
      </w:r>
    </w:p>
    <w:p>
      <w:r>
        <w:rPr>
          <w:rFonts w:ascii="Menlo" w:hAnsi="Menlo" w:cs="Menlo"/>
          <w:b/>
          <w:bCs/>
        </w:rPr>
        <w:t>tukeycorrelation_GLY</w:t>
      </w:r>
      <w:r>
        <w:rPr>
          <w:b/>
          <w:bCs/>
        </w:rPr>
        <w:t xml:space="preserve">: </w:t>
      </w:r>
      <w:r>
        <w:t xml:space="preserve">Indicator variable (0/1) for whether the trial has a Tukey outlier (inner fences) in the fasting plasma glucose (FPG) correlation; the glycemic-outcome analogue of tukeycorrelation.</w:t>
      </w:r>
    </w:p>
    <w:p>
      <w:r>
        <w:rPr>
          <w:rFonts w:ascii="Menlo" w:hAnsi="Menlo" w:cs="Menlo"/>
          <w:b/>
          <w:bCs/>
        </w:rPr>
        <w:t>non_genuine_data</w:t>
      </w:r>
      <w:r>
        <w:rPr>
          <w:b/>
          <w:bCs/>
        </w:rPr>
        <w:t xml:space="preserve">: </w:t>
      </w:r>
      <w:r>
        <w:t xml:space="preserve">Indicator variable (0/1) for whether the trial reports a table with three or more correlations (ρs) exceeding |0.99|.</w:t>
      </w:r>
    </w:p>
    <w:p>
      <w:r>
        <w:rPr>
          <w:rFonts w:ascii="Menlo" w:hAnsi="Menlo" w:cs="Menlo"/>
          <w:b/>
          <w:bCs/>
        </w:rPr>
        <w:t>zombie01</w:t>
      </w:r>
      <w:r>
        <w:rPr>
          <w:b/>
          <w:bCs/>
        </w:rPr>
        <w:t xml:space="preserve">: </w:t>
      </w:r>
      <w:r>
        <w:t xml:space="preserve">Indicator variable (0/1) for whether the trial has a Carlisle-Stouffer-Fisher p-value &lt; 0.01 for the baseline data (see P_onesided).</w:t>
      </w:r>
    </w:p>
    <w:p>
      <w:r>
        <w:rPr>
          <w:rFonts w:ascii="Menlo" w:hAnsi="Menlo" w:cs="Menlo"/>
          <w:b/>
          <w:bCs/>
        </w:rPr>
        <w:t>retraction_countries</w:t>
      </w:r>
      <w:r>
        <w:rPr>
          <w:b/>
          <w:bCs/>
        </w:rPr>
        <w:t xml:space="preserve">: </w:t>
      </w:r>
      <w:r>
        <w:t xml:space="preserve">Indicator variable (0/1) for whether the trial originates from a country with a high retraction ranking (derived from Country).</w:t>
      </w:r>
    </w:p>
    <w:p>
      <w:r>
        <w:rPr>
          <w:rFonts w:ascii="Menlo" w:hAnsi="Menlo" w:cs="Menlo"/>
          <w:b/>
          <w:bCs/>
        </w:rPr>
        <w:t>unknown_funding</w:t>
      </w:r>
      <w:r>
        <w:rPr>
          <w:b/>
          <w:bCs/>
        </w:rPr>
        <w:t xml:space="preserve">: </w:t>
      </w:r>
      <w:r>
        <w:t xml:space="preserve">Indicator variable (0/1) for whether the trial fails to report a funding source, i.e., whether funding was classified as “Not reported or self-supported” (derived from funding).</w:t>
      </w:r>
    </w:p>
    <w:p w14:paraId="0210CDC8" w14:textId="22870681" w:rsidR="006F1932" w:rsidRPr="006F1932" w:rsidRDefault="006F1932" w:rsidP="006F1932">
      <w:r>
        <w:cr/>
      </w:r>
    </w:p>
    <w:sectPr w:rsidR="006F1932" w:rsidRPr="006F19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4E2F3" w14:textId="77777777" w:rsidR="00B47159" w:rsidRDefault="00B47159" w:rsidP="002957EE">
      <w:pPr>
        <w:spacing w:after="0" w:line="240" w:lineRule="auto"/>
      </w:pPr>
      <w:r>
        <w:separator/>
      </w:r>
    </w:p>
  </w:endnote>
  <w:endnote w:type="continuationSeparator" w:id="0">
    <w:p w14:paraId="44705348" w14:textId="77777777" w:rsidR="00B47159" w:rsidRDefault="00B47159" w:rsidP="00295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1E2E2" w14:textId="77777777" w:rsidR="00B47159" w:rsidRDefault="00B47159" w:rsidP="002957EE">
      <w:pPr>
        <w:spacing w:after="0" w:line="240" w:lineRule="auto"/>
      </w:pPr>
      <w:r>
        <w:separator/>
      </w:r>
    </w:p>
  </w:footnote>
  <w:footnote w:type="continuationSeparator" w:id="0">
    <w:p w14:paraId="38422D09" w14:textId="77777777" w:rsidR="00B47159" w:rsidRDefault="00B47159" w:rsidP="00295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E2E"/>
    <w:multiLevelType w:val="hybridMultilevel"/>
    <w:tmpl w:val="BA6EC634"/>
    <w:lvl w:ilvl="0" w:tplc="E848AB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1C759A"/>
    <w:multiLevelType w:val="hybridMultilevel"/>
    <w:tmpl w:val="CD40972C"/>
    <w:lvl w:ilvl="0" w:tplc="237EE49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D75A6"/>
    <w:multiLevelType w:val="hybridMultilevel"/>
    <w:tmpl w:val="F7448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4374076">
    <w:abstractNumId w:val="1"/>
  </w:num>
  <w:num w:numId="2" w16cid:durableId="475613845">
    <w:abstractNumId w:val="0"/>
  </w:num>
  <w:num w:numId="3" w16cid:durableId="2096171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87"/>
    <w:rsid w:val="00015515"/>
    <w:rsid w:val="00020269"/>
    <w:rsid w:val="00023A4E"/>
    <w:rsid w:val="0008002D"/>
    <w:rsid w:val="00086E37"/>
    <w:rsid w:val="0008778C"/>
    <w:rsid w:val="000955AD"/>
    <w:rsid w:val="000B6D97"/>
    <w:rsid w:val="000E1F25"/>
    <w:rsid w:val="000E5596"/>
    <w:rsid w:val="000E6651"/>
    <w:rsid w:val="000E7DDE"/>
    <w:rsid w:val="000F0905"/>
    <w:rsid w:val="00114C48"/>
    <w:rsid w:val="00123C7D"/>
    <w:rsid w:val="00135E19"/>
    <w:rsid w:val="00141898"/>
    <w:rsid w:val="00147860"/>
    <w:rsid w:val="00170C56"/>
    <w:rsid w:val="00184D63"/>
    <w:rsid w:val="001A0BD0"/>
    <w:rsid w:val="001B753E"/>
    <w:rsid w:val="001B76FF"/>
    <w:rsid w:val="001E0EB6"/>
    <w:rsid w:val="001E3FD1"/>
    <w:rsid w:val="00224EF7"/>
    <w:rsid w:val="0025525E"/>
    <w:rsid w:val="002957EE"/>
    <w:rsid w:val="002A3016"/>
    <w:rsid w:val="002B5597"/>
    <w:rsid w:val="002C1C80"/>
    <w:rsid w:val="00315AD5"/>
    <w:rsid w:val="0033163C"/>
    <w:rsid w:val="003332BA"/>
    <w:rsid w:val="00334652"/>
    <w:rsid w:val="003418C1"/>
    <w:rsid w:val="00352A0C"/>
    <w:rsid w:val="00357C21"/>
    <w:rsid w:val="00367043"/>
    <w:rsid w:val="00393ED4"/>
    <w:rsid w:val="003A3004"/>
    <w:rsid w:val="003A6D54"/>
    <w:rsid w:val="003A7B49"/>
    <w:rsid w:val="003B3805"/>
    <w:rsid w:val="003C1AC4"/>
    <w:rsid w:val="003E71AD"/>
    <w:rsid w:val="003F05BF"/>
    <w:rsid w:val="003F3628"/>
    <w:rsid w:val="003F448B"/>
    <w:rsid w:val="00410CE2"/>
    <w:rsid w:val="00423EAF"/>
    <w:rsid w:val="00444E10"/>
    <w:rsid w:val="00454E23"/>
    <w:rsid w:val="00470A34"/>
    <w:rsid w:val="00497DF1"/>
    <w:rsid w:val="004D3102"/>
    <w:rsid w:val="004D7427"/>
    <w:rsid w:val="004F5C79"/>
    <w:rsid w:val="0051677C"/>
    <w:rsid w:val="00532CF5"/>
    <w:rsid w:val="005341AE"/>
    <w:rsid w:val="00536C9F"/>
    <w:rsid w:val="005439FB"/>
    <w:rsid w:val="005654E1"/>
    <w:rsid w:val="00565C7C"/>
    <w:rsid w:val="0058176C"/>
    <w:rsid w:val="005860BD"/>
    <w:rsid w:val="005A1A20"/>
    <w:rsid w:val="005B516F"/>
    <w:rsid w:val="005D6DD5"/>
    <w:rsid w:val="005D7CDC"/>
    <w:rsid w:val="00605202"/>
    <w:rsid w:val="00613A01"/>
    <w:rsid w:val="00625878"/>
    <w:rsid w:val="00634972"/>
    <w:rsid w:val="006457A3"/>
    <w:rsid w:val="006633D3"/>
    <w:rsid w:val="00687ACD"/>
    <w:rsid w:val="006B5029"/>
    <w:rsid w:val="006C545D"/>
    <w:rsid w:val="006D3108"/>
    <w:rsid w:val="006F1932"/>
    <w:rsid w:val="00703F18"/>
    <w:rsid w:val="007670B9"/>
    <w:rsid w:val="00770C7D"/>
    <w:rsid w:val="007C28B3"/>
    <w:rsid w:val="007E00EC"/>
    <w:rsid w:val="008044D7"/>
    <w:rsid w:val="0085657A"/>
    <w:rsid w:val="0086787F"/>
    <w:rsid w:val="0088000F"/>
    <w:rsid w:val="0088035C"/>
    <w:rsid w:val="008B00E1"/>
    <w:rsid w:val="008C5D14"/>
    <w:rsid w:val="00930546"/>
    <w:rsid w:val="009453F7"/>
    <w:rsid w:val="00951514"/>
    <w:rsid w:val="009572CC"/>
    <w:rsid w:val="0096693F"/>
    <w:rsid w:val="00972E5B"/>
    <w:rsid w:val="009A3C3F"/>
    <w:rsid w:val="009B402F"/>
    <w:rsid w:val="009B4F15"/>
    <w:rsid w:val="009D2B96"/>
    <w:rsid w:val="009E6B73"/>
    <w:rsid w:val="00A118C8"/>
    <w:rsid w:val="00A3197F"/>
    <w:rsid w:val="00A53D8B"/>
    <w:rsid w:val="00A82AC4"/>
    <w:rsid w:val="00AD463D"/>
    <w:rsid w:val="00AE13BA"/>
    <w:rsid w:val="00AE3FC3"/>
    <w:rsid w:val="00B051A3"/>
    <w:rsid w:val="00B2507A"/>
    <w:rsid w:val="00B30CB7"/>
    <w:rsid w:val="00B3583A"/>
    <w:rsid w:val="00B42DFD"/>
    <w:rsid w:val="00B43C5D"/>
    <w:rsid w:val="00B4589C"/>
    <w:rsid w:val="00B47159"/>
    <w:rsid w:val="00B910F8"/>
    <w:rsid w:val="00B92C4C"/>
    <w:rsid w:val="00B9322E"/>
    <w:rsid w:val="00BA3ED3"/>
    <w:rsid w:val="00BA4AA8"/>
    <w:rsid w:val="00BD5E94"/>
    <w:rsid w:val="00BE3C26"/>
    <w:rsid w:val="00C43610"/>
    <w:rsid w:val="00CD0A88"/>
    <w:rsid w:val="00D25799"/>
    <w:rsid w:val="00D43E1F"/>
    <w:rsid w:val="00D62B90"/>
    <w:rsid w:val="00D65A44"/>
    <w:rsid w:val="00D87BEB"/>
    <w:rsid w:val="00DA4888"/>
    <w:rsid w:val="00DC1C2E"/>
    <w:rsid w:val="00DD682D"/>
    <w:rsid w:val="00DE2FF9"/>
    <w:rsid w:val="00E30F21"/>
    <w:rsid w:val="00E5525B"/>
    <w:rsid w:val="00E879E0"/>
    <w:rsid w:val="00EA662C"/>
    <w:rsid w:val="00EB1106"/>
    <w:rsid w:val="00EB1B79"/>
    <w:rsid w:val="00EB6379"/>
    <w:rsid w:val="00ED5D87"/>
    <w:rsid w:val="00F000B1"/>
    <w:rsid w:val="00F04FF7"/>
    <w:rsid w:val="00F068C1"/>
    <w:rsid w:val="00F10B32"/>
    <w:rsid w:val="00F15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5564F"/>
  <w15:chartTrackingRefBased/>
  <w15:docId w15:val="{2F54D830-62C3-40F9-B4CE-1B4A1CBA6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87"/>
    <w:rPr>
      <w:rFonts w:eastAsiaTheme="majorEastAsia" w:cstheme="majorBidi"/>
      <w:color w:val="272727" w:themeColor="text1" w:themeTint="D8"/>
    </w:rPr>
  </w:style>
  <w:style w:type="paragraph" w:styleId="Title">
    <w:name w:val="Title"/>
    <w:basedOn w:val="Normal"/>
    <w:next w:val="Normal"/>
    <w:link w:val="TitleChar"/>
    <w:uiPriority w:val="10"/>
    <w:qFormat/>
    <w:rsid w:val="00ED5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87"/>
    <w:pPr>
      <w:spacing w:before="160"/>
      <w:jc w:val="center"/>
    </w:pPr>
    <w:rPr>
      <w:i/>
      <w:iCs/>
      <w:color w:val="404040" w:themeColor="text1" w:themeTint="BF"/>
    </w:rPr>
  </w:style>
  <w:style w:type="character" w:customStyle="1" w:styleId="QuoteChar">
    <w:name w:val="Quote Char"/>
    <w:basedOn w:val="DefaultParagraphFont"/>
    <w:link w:val="Quote"/>
    <w:uiPriority w:val="29"/>
    <w:rsid w:val="00ED5D87"/>
    <w:rPr>
      <w:i/>
      <w:iCs/>
      <w:color w:val="404040" w:themeColor="text1" w:themeTint="BF"/>
    </w:rPr>
  </w:style>
  <w:style w:type="paragraph" w:styleId="ListParagraph">
    <w:name w:val="List Paragraph"/>
    <w:basedOn w:val="Normal"/>
    <w:uiPriority w:val="34"/>
    <w:qFormat/>
    <w:rsid w:val="00ED5D87"/>
    <w:pPr>
      <w:ind w:left="720"/>
      <w:contextualSpacing/>
    </w:pPr>
  </w:style>
  <w:style w:type="character" w:styleId="IntenseEmphasis">
    <w:name w:val="Intense Emphasis"/>
    <w:basedOn w:val="DefaultParagraphFont"/>
    <w:uiPriority w:val="21"/>
    <w:qFormat/>
    <w:rsid w:val="00ED5D87"/>
    <w:rPr>
      <w:i/>
      <w:iCs/>
      <w:color w:val="0F4761" w:themeColor="accent1" w:themeShade="BF"/>
    </w:rPr>
  </w:style>
  <w:style w:type="paragraph" w:styleId="IntenseQuote">
    <w:name w:val="Intense Quote"/>
    <w:basedOn w:val="Normal"/>
    <w:next w:val="Normal"/>
    <w:link w:val="IntenseQuoteChar"/>
    <w:uiPriority w:val="30"/>
    <w:qFormat/>
    <w:rsid w:val="00ED5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D87"/>
    <w:rPr>
      <w:i/>
      <w:iCs/>
      <w:color w:val="0F4761" w:themeColor="accent1" w:themeShade="BF"/>
    </w:rPr>
  </w:style>
  <w:style w:type="character" w:styleId="IntenseReference">
    <w:name w:val="Intense Reference"/>
    <w:basedOn w:val="DefaultParagraphFont"/>
    <w:uiPriority w:val="32"/>
    <w:qFormat/>
    <w:rsid w:val="00ED5D87"/>
    <w:rPr>
      <w:b/>
      <w:bCs/>
      <w:smallCaps/>
      <w:color w:val="0F4761" w:themeColor="accent1" w:themeShade="BF"/>
      <w:spacing w:val="5"/>
    </w:rPr>
  </w:style>
  <w:style w:type="character" w:styleId="Hyperlink">
    <w:name w:val="Hyperlink"/>
    <w:basedOn w:val="DefaultParagraphFont"/>
    <w:uiPriority w:val="99"/>
    <w:unhideWhenUsed/>
    <w:rsid w:val="00930546"/>
    <w:rPr>
      <w:color w:val="467886" w:themeColor="hyperlink"/>
      <w:u w:val="single"/>
    </w:rPr>
  </w:style>
  <w:style w:type="character" w:styleId="UnresolvedMention">
    <w:name w:val="Unresolved Mention"/>
    <w:basedOn w:val="DefaultParagraphFont"/>
    <w:uiPriority w:val="99"/>
    <w:semiHidden/>
    <w:unhideWhenUsed/>
    <w:rsid w:val="00930546"/>
    <w:rPr>
      <w:color w:val="605E5C"/>
      <w:shd w:val="clear" w:color="auto" w:fill="E1DFDD"/>
    </w:rPr>
  </w:style>
  <w:style w:type="paragraph" w:styleId="Header">
    <w:name w:val="header"/>
    <w:basedOn w:val="Normal"/>
    <w:link w:val="HeaderChar"/>
    <w:uiPriority w:val="99"/>
    <w:unhideWhenUsed/>
    <w:rsid w:val="00295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7EE"/>
  </w:style>
  <w:style w:type="paragraph" w:styleId="Footer">
    <w:name w:val="footer"/>
    <w:basedOn w:val="Normal"/>
    <w:link w:val="FooterChar"/>
    <w:uiPriority w:val="99"/>
    <w:unhideWhenUsed/>
    <w:rsid w:val="00295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7EE"/>
  </w:style>
  <w:style w:type="character" w:styleId="CommentReference">
    <w:name w:val="annotation reference"/>
    <w:basedOn w:val="DefaultParagraphFont"/>
    <w:uiPriority w:val="99"/>
    <w:semiHidden/>
    <w:unhideWhenUsed/>
    <w:rsid w:val="00123C7D"/>
    <w:rPr>
      <w:sz w:val="16"/>
      <w:szCs w:val="16"/>
    </w:rPr>
  </w:style>
  <w:style w:type="paragraph" w:styleId="CommentText">
    <w:name w:val="annotation text"/>
    <w:basedOn w:val="Normal"/>
    <w:link w:val="CommentTextChar"/>
    <w:uiPriority w:val="99"/>
    <w:semiHidden/>
    <w:unhideWhenUsed/>
    <w:rsid w:val="00123C7D"/>
    <w:pPr>
      <w:spacing w:line="240" w:lineRule="auto"/>
    </w:pPr>
    <w:rPr>
      <w:sz w:val="20"/>
      <w:szCs w:val="20"/>
    </w:rPr>
  </w:style>
  <w:style w:type="character" w:customStyle="1" w:styleId="CommentTextChar">
    <w:name w:val="Comment Text Char"/>
    <w:basedOn w:val="DefaultParagraphFont"/>
    <w:link w:val="CommentText"/>
    <w:uiPriority w:val="99"/>
    <w:semiHidden/>
    <w:rsid w:val="00123C7D"/>
    <w:rPr>
      <w:sz w:val="20"/>
      <w:szCs w:val="20"/>
    </w:rPr>
  </w:style>
  <w:style w:type="paragraph" w:styleId="CommentSubject">
    <w:name w:val="annotation subject"/>
    <w:basedOn w:val="CommentText"/>
    <w:next w:val="CommentText"/>
    <w:link w:val="CommentSubjectChar"/>
    <w:uiPriority w:val="99"/>
    <w:semiHidden/>
    <w:unhideWhenUsed/>
    <w:rsid w:val="00123C7D"/>
    <w:rPr>
      <w:b/>
      <w:bCs/>
    </w:rPr>
  </w:style>
  <w:style w:type="character" w:customStyle="1" w:styleId="CommentSubjectChar">
    <w:name w:val="Comment Subject Char"/>
    <w:basedOn w:val="CommentTextChar"/>
    <w:link w:val="CommentSubject"/>
    <w:uiPriority w:val="99"/>
    <w:semiHidden/>
    <w:rsid w:val="00123C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0DEA1-0862-4ED5-8EDF-4FCAC236C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6</Pages>
  <Words>2293</Words>
  <Characters>13071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Hujoel</dc:creator>
  <cp:keywords/>
  <dc:description/>
  <cp:lastModifiedBy>Hujoel, Margaux Louise Anna</cp:lastModifiedBy>
  <cp:revision>35</cp:revision>
  <cp:lastPrinted>2025-11-23T17:00:00Z</cp:lastPrinted>
  <dcterms:created xsi:type="dcterms:W3CDTF">2025-10-26T21:03:00Z</dcterms:created>
  <dcterms:modified xsi:type="dcterms:W3CDTF">2025-11-29T23:53:00Z</dcterms:modified>
</cp:coreProperties>
</file>