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7B37" w14:textId="77777777" w:rsidR="009D2FD2" w:rsidRPr="00D93FCC" w:rsidRDefault="00000000">
      <w:pPr>
        <w:pStyle w:val="TtuloAPA"/>
      </w:pPr>
      <w:r>
        <w:t>Financiación de maquinaria amarilla con un crédito en dólares y cobertura con forwards</w:t>
      </w:r>
    </w:p>
    <w:p w14:paraId="2D95ACAC" w14:textId="77777777" w:rsidR="009D2FD2" w:rsidRPr="00D93FCC" w:rsidRDefault="00000000">
      <w:pPr>
        <w:pStyle w:val="TtuloAPAnivel1"/>
      </w:pPr>
      <w:r>
        <w:t>Introducción</w:t>
      </w:r>
    </w:p>
    <w:p w14:paraId="620E0518" w14:textId="77777777" w:rsidR="009D2FD2" w:rsidRDefault="003A5A36">
      <w:r>
        <w:t>Se plantea la compra de maquinaria amarilla por COP 400 millones. Los inversionistas aportan el 10 % y el 90 % restante (COP 360 millones) se financia con un crédito en Estados Unidos, denominado en dólares, a 10 años y amortizado por sistema francés con cuotas trimestrales constantes. Como los ingresos del proyecto llegan en pesos y las cuotas se pagan en dólares, la empresa queda expuesta a la devaluación del peso.</w:t>
      </w:r>
    </w:p>
    <w:p w14:paraId="4EE655EA" w14:textId="77777777" w:rsidR="009D2FD2" w:rsidRPr="00D93FCC" w:rsidRDefault="00000000">
      <w:pPr>
        <w:pStyle w:val="TtuloAPAnivel1"/>
      </w:pPr>
      <w:r>
        <w:t>A.1. Análisis fundamental de la TRM y expectativa a un año</w:t>
      </w:r>
    </w:p>
    <w:p w14:paraId="757AD6EF" w14:textId="77777777" w:rsidR="009D2FD2" w:rsidRPr="00D93FCC" w:rsidRDefault="00000000">
      <w:pPr>
        <w:pStyle w:val="TtuloAPAnivel2"/>
      </w:pPr>
      <w:r>
        <w:t>Expectativa central</w:t>
      </w:r>
    </w:p>
    <w:p w14:paraId="0494825E" w14:textId="77777777" w:rsidR="009D2FD2" w:rsidRDefault="00000000">
      <w:r>
        <w:t>El análisis espera una depreciación moderada del peso en los próximos doce meses: una TRM entre $3.250 y $3.500 en octubre de 2027, frente a $3.174,67 en la fecha de valoración, con un valor esperado cercano a $3.394, es decir, un alza del dólar de alrededor de 7 %. La expectativa no pretende adivinar un número exacto; busca un rango razonable respaldado por los datos. El punto de partida es un peso muy fuerte: el dólar acumula una caída de 15,61 % en 2026 (</w:t>
      </w:r>
      <w:hyperlink r:id="rId7" w:history="1">
        <w:r w:rsidR="009D2FD2">
          <w:rPr>
            <w:rStyle w:val="Hipervnculo"/>
          </w:rPr>
          <w:t>Global66, 2026</w:t>
        </w:r>
      </w:hyperlink>
      <w:r>
        <w:t xml:space="preserve">; </w:t>
      </w:r>
      <w:hyperlink r:id="rId8" w:history="1">
        <w:r w:rsidR="009D2FD2">
          <w:rPr>
            <w:rStyle w:val="Hipervnculo"/>
          </w:rPr>
          <w:t>Portafolio, 2026d</w:t>
        </w:r>
      </w:hyperlink>
      <w:r>
        <w:t>), impulsada por tres apoyos: el diferencial de tasas de interés, el petróleo caro y una menor prima de riesgo político después de las elecciones. La idea central del análisis es que esos tres apoyos tienden a debilitarse en 2027, mientras el riesgo fiscal aumenta.</w:t>
      </w:r>
    </w:p>
    <w:p w14:paraId="505A0738" w14:textId="77777777" w:rsidR="009D2FD2" w:rsidRPr="00D93FCC" w:rsidRDefault="00000000">
      <w:pPr>
        <w:pStyle w:val="TtuloAPAnivel2"/>
      </w:pPr>
      <w:r>
        <w:t>Condiciones iniciales</w:t>
      </w:r>
    </w:p>
    <w:p w14:paraId="28D3DC97" w14:textId="77777777" w:rsidR="009D2FD2" w:rsidRDefault="00000000">
      <w:r>
        <w:t>La TRM vigente entre el 17 y el 19 de octubre de 2026 fue $3.174,67 por dólar, después de bajar desde $3.312,84 el 1 de octubre (</w:t>
      </w:r>
      <w:hyperlink r:id="rId9" w:history="1">
        <w:r w:rsidR="009D2FD2">
          <w:rPr>
            <w:rStyle w:val="Hipervnculo"/>
          </w:rPr>
          <w:t>Wilkinson PC, s. f.</w:t>
        </w:r>
      </w:hyperlink>
      <w:r>
        <w:t>). En los días siguientes el dólar se mantuvo cerca de ese nivel: la TRM del 23 de octubre fue $3.185,01 (</w:t>
      </w:r>
      <w:hyperlink r:id="rId10" w:history="1">
        <w:r w:rsidR="009D2FD2">
          <w:rPr>
            <w:rStyle w:val="Hipervnculo"/>
          </w:rPr>
          <w:t>Portafolio, 2026d</w:t>
        </w:r>
      </w:hyperlink>
      <w:r>
        <w:t>), de modo que la fecha de valoración sigue siendo representativa.</w:t>
      </w:r>
    </w:p>
    <w:p w14:paraId="62C26040" w14:textId="77777777" w:rsidR="009D2FD2" w:rsidRDefault="00000000">
      <w:r>
        <w:lastRenderedPageBreak/>
        <w:t>Como punto de referencia se calculan dos paridades. No son pronósticos, sino valores teóricos que ayudan a ubicar la expectativa:</w:t>
      </w:r>
    </w:p>
    <w:p w14:paraId="55F35775" w14:textId="77777777" w:rsidR="00D20524" w:rsidRDefault="00000000">
      <w:pPr>
        <w:pStyle w:val="Rtulotablaofigura"/>
      </w:pPr>
      <w:r>
        <w:rPr>
          <w:b/>
          <w:bCs/>
        </w:rPr>
        <w:t>Tabla 1</w:t>
      </w:r>
    </w:p>
    <w:p w14:paraId="736F0608" w14:textId="77777777" w:rsidR="00D20524" w:rsidRDefault="00000000">
      <w:pPr>
        <w:pStyle w:val="Ttulotablaofigura"/>
      </w:pPr>
      <w:r>
        <w:t>Paridades de referencia para la TRM a 12 meses</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400"/>
        <w:gridCol w:w="4060"/>
        <w:gridCol w:w="1900"/>
      </w:tblGrid>
      <w:tr w:rsidR="009D2FD2" w14:paraId="7A4DF620" w14:textId="77777777" w:rsidTr="00D93FCC">
        <w:trPr>
          <w:tblHeader/>
        </w:trPr>
        <w:tc>
          <w:tcPr>
            <w:tcW w:w="3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5475BA5" w14:textId="77777777" w:rsidR="009D2FD2" w:rsidRDefault="00000000">
            <w:pPr>
              <w:pStyle w:val="Tablacelda"/>
            </w:pPr>
            <w:r>
              <w:rPr>
                <w:b/>
                <w:bCs/>
              </w:rPr>
              <w:t>Método</w:t>
            </w:r>
          </w:p>
        </w:tc>
        <w:tc>
          <w:tcPr>
            <w:tcW w:w="40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D936A70" w14:textId="77777777" w:rsidR="009D2FD2" w:rsidRDefault="00000000">
            <w:pPr>
              <w:pStyle w:val="Tablacelda"/>
            </w:pPr>
            <w:r>
              <w:rPr>
                <w:b/>
                <w:bCs/>
              </w:rPr>
              <w:t>Cálculo</w:t>
            </w:r>
          </w:p>
        </w:tc>
        <w:tc>
          <w:tcPr>
            <w:tcW w:w="19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B670595" w14:textId="77777777" w:rsidR="009D2FD2" w:rsidRDefault="00000000">
            <w:pPr>
              <w:pStyle w:val="Tablacelda"/>
            </w:pPr>
            <w:r>
              <w:rPr>
                <w:b/>
                <w:bCs/>
              </w:rPr>
              <w:t>TRM de referencia a 12 meses</w:t>
            </w:r>
          </w:p>
        </w:tc>
      </w:tr>
      <w:tr w:rsidR="009D2FD2" w14:paraId="6873F99F" w14:textId="77777777">
        <w:tc>
          <w:tcPr>
            <w:tcW w:w="3400" w:type="dxa"/>
            <w:tcBorders>
              <w:top w:val="nil"/>
              <w:left w:val="nil"/>
              <w:bottom w:val="nil"/>
              <w:right w:val="nil"/>
            </w:tcBorders>
            <w:tcMar>
              <w:top w:w="60" w:type="dxa"/>
              <w:left w:w="100" w:type="dxa"/>
              <w:bottom w:w="60" w:type="dxa"/>
              <w:right w:w="100" w:type="dxa"/>
            </w:tcMar>
          </w:tcPr>
          <w:p w14:paraId="1BE81107" w14:textId="77777777" w:rsidR="009D2FD2" w:rsidRDefault="00000000">
            <w:pPr>
              <w:pStyle w:val="Tablacelda"/>
            </w:pPr>
            <w:r>
              <w:t>Paridad de tasas de interés (cubierta)</w:t>
            </w:r>
          </w:p>
        </w:tc>
        <w:tc>
          <w:tcPr>
            <w:tcW w:w="4060" w:type="dxa"/>
            <w:tcBorders>
              <w:top w:val="nil"/>
              <w:left w:val="nil"/>
              <w:bottom w:val="nil"/>
              <w:right w:val="nil"/>
            </w:tcBorders>
            <w:tcMar>
              <w:top w:w="60" w:type="dxa"/>
              <w:left w:w="100" w:type="dxa"/>
              <w:bottom w:w="60" w:type="dxa"/>
              <w:right w:w="100" w:type="dxa"/>
            </w:tcMar>
          </w:tcPr>
          <w:p w14:paraId="30E2067F" w14:textId="77777777" w:rsidR="009D2FD2" w:rsidRDefault="00000000">
            <w:pPr>
              <w:pStyle w:val="Tablacelda"/>
            </w:pPr>
            <w:r>
              <w:t>3.174,67 × (1 + 12,25 %) / (1 + 4,51 %)</w:t>
            </w:r>
          </w:p>
        </w:tc>
        <w:tc>
          <w:tcPr>
            <w:tcW w:w="1900" w:type="dxa"/>
            <w:tcBorders>
              <w:top w:val="nil"/>
              <w:left w:val="nil"/>
              <w:bottom w:val="nil"/>
              <w:right w:val="nil"/>
            </w:tcBorders>
            <w:tcMar>
              <w:top w:w="60" w:type="dxa"/>
              <w:left w:w="100" w:type="dxa"/>
              <w:bottom w:w="60" w:type="dxa"/>
              <w:right w:w="100" w:type="dxa"/>
            </w:tcMar>
          </w:tcPr>
          <w:p w14:paraId="6A1FFE84" w14:textId="77777777" w:rsidR="009D2FD2" w:rsidRDefault="00000000">
            <w:pPr>
              <w:pStyle w:val="Tablacelda"/>
            </w:pPr>
            <w:r>
              <w:t>≈ $3.410</w:t>
            </w:r>
          </w:p>
        </w:tc>
      </w:tr>
      <w:tr w:rsidR="009D2FD2" w14:paraId="199F7240" w14:textId="77777777">
        <w:tc>
          <w:tcPr>
            <w:tcW w:w="3400" w:type="dxa"/>
            <w:tcBorders>
              <w:top w:val="nil"/>
              <w:left w:val="nil"/>
              <w:bottom w:val="single" w:sz="8" w:space="0" w:color="000000"/>
              <w:right w:val="nil"/>
            </w:tcBorders>
            <w:tcMar>
              <w:top w:w="60" w:type="dxa"/>
              <w:left w:w="100" w:type="dxa"/>
              <w:bottom w:w="60" w:type="dxa"/>
              <w:right w:w="100" w:type="dxa"/>
            </w:tcMar>
          </w:tcPr>
          <w:p w14:paraId="443C49A3" w14:textId="77777777" w:rsidR="009D2FD2" w:rsidRDefault="00000000">
            <w:pPr>
              <w:pStyle w:val="Tablacelda"/>
            </w:pPr>
            <w:r>
              <w:t>Paridad de poder adquisitivo relativa</w:t>
            </w:r>
          </w:p>
        </w:tc>
        <w:tc>
          <w:tcPr>
            <w:tcW w:w="4060" w:type="dxa"/>
            <w:tcBorders>
              <w:top w:val="nil"/>
              <w:left w:val="nil"/>
              <w:bottom w:val="single" w:sz="8" w:space="0" w:color="000000"/>
              <w:right w:val="nil"/>
            </w:tcBorders>
            <w:tcMar>
              <w:top w:w="60" w:type="dxa"/>
              <w:left w:w="100" w:type="dxa"/>
              <w:bottom w:w="60" w:type="dxa"/>
              <w:right w:w="100" w:type="dxa"/>
            </w:tcMar>
          </w:tcPr>
          <w:p w14:paraId="57E1DC3D" w14:textId="77777777" w:rsidR="009D2FD2" w:rsidRDefault="00000000">
            <w:pPr>
              <w:pStyle w:val="Tablacelda"/>
            </w:pPr>
            <w:r>
              <w:t>3.174,67 × (1 + 6,29 %) / (1 + 3,7 %)</w:t>
            </w:r>
          </w:p>
        </w:tc>
        <w:tc>
          <w:tcPr>
            <w:tcW w:w="1900" w:type="dxa"/>
            <w:tcBorders>
              <w:top w:val="nil"/>
              <w:left w:val="nil"/>
              <w:bottom w:val="single" w:sz="8" w:space="0" w:color="000000"/>
              <w:right w:val="nil"/>
            </w:tcBorders>
            <w:tcMar>
              <w:top w:w="60" w:type="dxa"/>
              <w:left w:w="100" w:type="dxa"/>
              <w:bottom w:w="60" w:type="dxa"/>
              <w:right w:w="100" w:type="dxa"/>
            </w:tcMar>
          </w:tcPr>
          <w:p w14:paraId="0ECAEAD4" w14:textId="77777777" w:rsidR="009D2FD2" w:rsidRDefault="00000000">
            <w:pPr>
              <w:pStyle w:val="Tablacelda"/>
            </w:pPr>
            <w:r>
              <w:t>≈ $3.254</w:t>
            </w:r>
          </w:p>
        </w:tc>
      </w:tr>
    </w:tbl>
    <w:p w14:paraId="14EED3AD" w14:textId="77777777" w:rsidR="009D2FD2" w:rsidRDefault="009D2FD2">
      <w:pPr>
        <w:spacing w:after="60"/>
      </w:pPr>
    </w:p>
    <w:p w14:paraId="293B3FD5" w14:textId="77777777" w:rsidR="009D2FD2" w:rsidRDefault="00000000">
      <w:r>
        <w:t>La paridad de tasas indica cuánto costaría hoy asegurar (cubrir) el precio del dólar a un año: como las tasas en Colombia son mucho más altas que en Estados Unidos, el dólar a futuro es más caro que el dólar de contado. La paridad de poder adquisitivo indica cuánto se depreciaría el peso si solo importara la diferencia de inflación entre los dos países. Ambas apuntan a un dólar más caro que hoy. Sin embargo, en 2026 el peso se apreció en lugar de depreciarse, porque el diferencial de tasas atrajo capital extranjero más conocido como carrry trade.</w:t>
      </w:r>
    </w:p>
    <w:p w14:paraId="610C99C1" w14:textId="77777777" w:rsidR="009D2FD2" w:rsidRDefault="00000000">
      <w:pPr>
        <w:pStyle w:val="TtuloAPAnivel2"/>
      </w:pPr>
      <w:r>
        <w:t>Diferencial de tasas y política monetaria</w:t>
      </w:r>
    </w:p>
    <w:p w14:paraId="3B7376FA" w14:textId="77777777" w:rsidR="009D2FD2" w:rsidRDefault="00000000">
      <w:r>
        <w:t>Ambos bancos centrales están subiendo tasas, pero Colombia parte de un nivel mucho más alto. El diferencial nominal es de unos 8,4 puntos porcentuales y el real, de unos 5,8 puntos. Mientras ese diferencial se mantenga, el sigue siendo atractivo y se sostiene la demanda por la moneda.</w:t>
      </w:r>
    </w:p>
    <w:p w14:paraId="57A823F2" w14:textId="77777777" w:rsidR="00D20524" w:rsidRDefault="00000000">
      <w:pPr>
        <w:pStyle w:val="Rtulotablaofigura"/>
      </w:pPr>
      <w:r>
        <w:rPr>
          <w:b/>
          <w:bCs/>
        </w:rPr>
        <w:t>Tabla 2</w:t>
      </w:r>
    </w:p>
    <w:p w14:paraId="6877CD8F" w14:textId="77777777" w:rsidR="00D20524" w:rsidRDefault="00000000">
      <w:pPr>
        <w:pStyle w:val="Ttulotablaofigura"/>
      </w:pPr>
      <w:r>
        <w:t>Política monetaria en Colombia y Estados Unidos</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300"/>
        <w:gridCol w:w="3530"/>
        <w:gridCol w:w="3530"/>
      </w:tblGrid>
      <w:tr w:rsidR="009D2FD2" w14:paraId="3511E3D7" w14:textId="77777777">
        <w:trPr>
          <w:tblHeader/>
        </w:trPr>
        <w:tc>
          <w:tcPr>
            <w:tcW w:w="23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715CE33" w14:textId="77777777" w:rsidR="009D2FD2" w:rsidRDefault="009D2FD2"/>
        </w:tc>
        <w:tc>
          <w:tcPr>
            <w:tcW w:w="353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A945FE7" w14:textId="77777777" w:rsidR="009D2FD2" w:rsidRDefault="00000000">
            <w:pPr>
              <w:pStyle w:val="Tablacelda"/>
            </w:pPr>
            <w:r>
              <w:rPr>
                <w:b/>
                <w:bCs/>
              </w:rPr>
              <w:t>Colombia (Banco de la República)</w:t>
            </w:r>
          </w:p>
        </w:tc>
        <w:tc>
          <w:tcPr>
            <w:tcW w:w="353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93017E8" w14:textId="77777777" w:rsidR="009D2FD2" w:rsidRDefault="00000000">
            <w:pPr>
              <w:pStyle w:val="Tablacelda"/>
            </w:pPr>
            <w:r>
              <w:rPr>
                <w:b/>
                <w:bCs/>
              </w:rPr>
              <w:t>Estados Unidos (Reserva Federal)</w:t>
            </w:r>
          </w:p>
        </w:tc>
      </w:tr>
      <w:tr w:rsidR="009D2FD2" w14:paraId="702D3D36" w14:textId="77777777">
        <w:tc>
          <w:tcPr>
            <w:tcW w:w="2300" w:type="dxa"/>
            <w:tcBorders>
              <w:top w:val="nil"/>
              <w:left w:val="nil"/>
              <w:bottom w:val="nil"/>
              <w:right w:val="nil"/>
            </w:tcBorders>
            <w:tcMar>
              <w:top w:w="60" w:type="dxa"/>
              <w:left w:w="100" w:type="dxa"/>
              <w:bottom w:w="60" w:type="dxa"/>
              <w:right w:w="100" w:type="dxa"/>
            </w:tcMar>
          </w:tcPr>
          <w:p w14:paraId="0A5E90AA" w14:textId="77777777" w:rsidR="009D2FD2" w:rsidRDefault="00000000">
            <w:pPr>
              <w:pStyle w:val="Tablacelda"/>
            </w:pPr>
            <w:r>
              <w:t>Tasa de política</w:t>
            </w:r>
          </w:p>
        </w:tc>
        <w:tc>
          <w:tcPr>
            <w:tcW w:w="3530" w:type="dxa"/>
            <w:tcBorders>
              <w:top w:val="nil"/>
              <w:left w:val="nil"/>
              <w:bottom w:val="nil"/>
              <w:right w:val="nil"/>
            </w:tcBorders>
            <w:tcMar>
              <w:top w:w="60" w:type="dxa"/>
              <w:left w:w="100" w:type="dxa"/>
              <w:bottom w:w="60" w:type="dxa"/>
              <w:right w:w="100" w:type="dxa"/>
            </w:tcMar>
          </w:tcPr>
          <w:p w14:paraId="68E09043" w14:textId="77777777" w:rsidR="009D2FD2" w:rsidRDefault="00000000">
            <w:pPr>
              <w:pStyle w:val="Tablacelda"/>
            </w:pPr>
            <w:r>
              <w:t>12,25 %</w:t>
            </w:r>
          </w:p>
        </w:tc>
        <w:tc>
          <w:tcPr>
            <w:tcW w:w="3530" w:type="dxa"/>
            <w:tcBorders>
              <w:top w:val="nil"/>
              <w:left w:val="nil"/>
              <w:bottom w:val="nil"/>
              <w:right w:val="nil"/>
            </w:tcBorders>
            <w:tcMar>
              <w:top w:w="60" w:type="dxa"/>
              <w:left w:w="100" w:type="dxa"/>
              <w:bottom w:w="60" w:type="dxa"/>
              <w:right w:w="100" w:type="dxa"/>
            </w:tcMar>
          </w:tcPr>
          <w:p w14:paraId="0A0B57A0" w14:textId="77777777" w:rsidR="009D2FD2" w:rsidRDefault="00000000">
            <w:pPr>
              <w:pStyle w:val="Tablacelda"/>
            </w:pPr>
            <w:r>
              <w:t>3,75 %–4,00 %</w:t>
            </w:r>
          </w:p>
        </w:tc>
      </w:tr>
      <w:tr w:rsidR="009D2FD2" w14:paraId="2ACF7E1F" w14:textId="77777777">
        <w:tc>
          <w:tcPr>
            <w:tcW w:w="2300" w:type="dxa"/>
            <w:tcBorders>
              <w:top w:val="nil"/>
              <w:left w:val="nil"/>
              <w:bottom w:val="nil"/>
              <w:right w:val="nil"/>
            </w:tcBorders>
            <w:tcMar>
              <w:top w:w="60" w:type="dxa"/>
              <w:left w:w="100" w:type="dxa"/>
              <w:bottom w:w="60" w:type="dxa"/>
              <w:right w:w="100" w:type="dxa"/>
            </w:tcMar>
          </w:tcPr>
          <w:p w14:paraId="12922147" w14:textId="77777777" w:rsidR="009D2FD2" w:rsidRDefault="00000000">
            <w:pPr>
              <w:pStyle w:val="Tablacelda"/>
            </w:pPr>
            <w:r>
              <w:lastRenderedPageBreak/>
              <w:t>Última decisión</w:t>
            </w:r>
          </w:p>
        </w:tc>
        <w:tc>
          <w:tcPr>
            <w:tcW w:w="3530" w:type="dxa"/>
            <w:tcBorders>
              <w:top w:val="nil"/>
              <w:left w:val="nil"/>
              <w:bottom w:val="nil"/>
              <w:right w:val="nil"/>
            </w:tcBorders>
            <w:tcMar>
              <w:top w:w="60" w:type="dxa"/>
              <w:left w:w="100" w:type="dxa"/>
              <w:bottom w:w="60" w:type="dxa"/>
              <w:right w:w="100" w:type="dxa"/>
            </w:tcMar>
          </w:tcPr>
          <w:p w14:paraId="0B13608F" w14:textId="77777777" w:rsidR="009D2FD2" w:rsidRDefault="00000000">
            <w:pPr>
              <w:pStyle w:val="Tablacelda"/>
            </w:pPr>
            <w:r>
              <w:t>Alza de 25 pb el 30 de septiembre (4 votos por +25 pb, 2 por mantener y 1 por +50 pb)</w:t>
            </w:r>
          </w:p>
        </w:tc>
        <w:tc>
          <w:tcPr>
            <w:tcW w:w="3530" w:type="dxa"/>
            <w:tcBorders>
              <w:top w:val="nil"/>
              <w:left w:val="nil"/>
              <w:bottom w:val="nil"/>
              <w:right w:val="nil"/>
            </w:tcBorders>
            <w:tcMar>
              <w:top w:w="60" w:type="dxa"/>
              <w:left w:w="100" w:type="dxa"/>
              <w:bottom w:w="60" w:type="dxa"/>
              <w:right w:w="100" w:type="dxa"/>
            </w:tcMar>
          </w:tcPr>
          <w:p w14:paraId="016C1788" w14:textId="77777777" w:rsidR="009D2FD2" w:rsidRDefault="00000000">
            <w:pPr>
              <w:pStyle w:val="Tablacelda"/>
            </w:pPr>
            <w:r>
              <w:t>Alza de 25 pb el 16 de septiembre, 12–0; la primera desde 2023</w:t>
            </w:r>
          </w:p>
        </w:tc>
      </w:tr>
      <w:tr w:rsidR="009D2FD2" w14:paraId="318F3A57" w14:textId="77777777">
        <w:tc>
          <w:tcPr>
            <w:tcW w:w="2300" w:type="dxa"/>
            <w:tcBorders>
              <w:top w:val="nil"/>
              <w:left w:val="nil"/>
              <w:bottom w:val="nil"/>
              <w:right w:val="nil"/>
            </w:tcBorders>
            <w:tcMar>
              <w:top w:w="60" w:type="dxa"/>
              <w:left w:w="100" w:type="dxa"/>
              <w:bottom w:w="60" w:type="dxa"/>
              <w:right w:w="100" w:type="dxa"/>
            </w:tcMar>
          </w:tcPr>
          <w:p w14:paraId="75262A33" w14:textId="77777777" w:rsidR="009D2FD2" w:rsidRDefault="00000000">
            <w:pPr>
              <w:pStyle w:val="Tablacelda"/>
            </w:pPr>
            <w:r>
              <w:t>Inflación anual</w:t>
            </w:r>
          </w:p>
        </w:tc>
        <w:tc>
          <w:tcPr>
            <w:tcW w:w="3530" w:type="dxa"/>
            <w:tcBorders>
              <w:top w:val="nil"/>
              <w:left w:val="nil"/>
              <w:bottom w:val="nil"/>
              <w:right w:val="nil"/>
            </w:tcBorders>
            <w:tcMar>
              <w:top w:w="60" w:type="dxa"/>
              <w:left w:w="100" w:type="dxa"/>
              <w:bottom w:w="60" w:type="dxa"/>
              <w:right w:w="100" w:type="dxa"/>
            </w:tcMar>
          </w:tcPr>
          <w:p w14:paraId="542DE20C" w14:textId="77777777" w:rsidR="009D2FD2" w:rsidRDefault="00000000">
            <w:pPr>
              <w:pStyle w:val="Tablacelda"/>
            </w:pPr>
            <w:r>
              <w:t>6,29 % (septiembre)</w:t>
            </w:r>
          </w:p>
        </w:tc>
        <w:tc>
          <w:tcPr>
            <w:tcW w:w="3530" w:type="dxa"/>
            <w:tcBorders>
              <w:top w:val="nil"/>
              <w:left w:val="nil"/>
              <w:bottom w:val="nil"/>
              <w:right w:val="nil"/>
            </w:tcBorders>
            <w:tcMar>
              <w:top w:w="60" w:type="dxa"/>
              <w:left w:w="100" w:type="dxa"/>
              <w:bottom w:w="60" w:type="dxa"/>
              <w:right w:w="100" w:type="dxa"/>
            </w:tcMar>
          </w:tcPr>
          <w:p w14:paraId="7F45BDCC" w14:textId="77777777" w:rsidR="009D2FD2" w:rsidRDefault="00000000">
            <w:pPr>
              <w:pStyle w:val="Tablacelda"/>
            </w:pPr>
            <w:r>
              <w:t>3,7 % (septiembre)</w:t>
            </w:r>
          </w:p>
        </w:tc>
      </w:tr>
      <w:tr w:rsidR="009D2FD2" w14:paraId="798E9B9E" w14:textId="77777777">
        <w:tc>
          <w:tcPr>
            <w:tcW w:w="2300" w:type="dxa"/>
            <w:tcBorders>
              <w:top w:val="nil"/>
              <w:left w:val="nil"/>
              <w:bottom w:val="nil"/>
              <w:right w:val="nil"/>
            </w:tcBorders>
            <w:tcMar>
              <w:top w:w="60" w:type="dxa"/>
              <w:left w:w="100" w:type="dxa"/>
              <w:bottom w:w="60" w:type="dxa"/>
              <w:right w:w="100" w:type="dxa"/>
            </w:tcMar>
          </w:tcPr>
          <w:p w14:paraId="5EBDDF90" w14:textId="77777777" w:rsidR="009D2FD2" w:rsidRDefault="00000000">
            <w:pPr>
              <w:pStyle w:val="Tablacelda"/>
            </w:pPr>
            <w:r>
              <w:t>Tasa real aproximada</w:t>
            </w:r>
          </w:p>
        </w:tc>
        <w:tc>
          <w:tcPr>
            <w:tcW w:w="3530" w:type="dxa"/>
            <w:tcBorders>
              <w:top w:val="nil"/>
              <w:left w:val="nil"/>
              <w:bottom w:val="nil"/>
              <w:right w:val="nil"/>
            </w:tcBorders>
            <w:tcMar>
              <w:top w:w="60" w:type="dxa"/>
              <w:left w:w="100" w:type="dxa"/>
              <w:bottom w:w="60" w:type="dxa"/>
              <w:right w:w="100" w:type="dxa"/>
            </w:tcMar>
          </w:tcPr>
          <w:p w14:paraId="35368DDA" w14:textId="77777777" w:rsidR="009D2FD2" w:rsidRDefault="00000000">
            <w:pPr>
              <w:pStyle w:val="Tablacelda"/>
            </w:pPr>
            <w:r>
              <w:t>12,25 − 6,29 ≈ 6,0 %</w:t>
            </w:r>
          </w:p>
        </w:tc>
        <w:tc>
          <w:tcPr>
            <w:tcW w:w="3530" w:type="dxa"/>
            <w:tcBorders>
              <w:top w:val="nil"/>
              <w:left w:val="nil"/>
              <w:bottom w:val="nil"/>
              <w:right w:val="nil"/>
            </w:tcBorders>
            <w:tcMar>
              <w:top w:w="60" w:type="dxa"/>
              <w:left w:w="100" w:type="dxa"/>
              <w:bottom w:w="60" w:type="dxa"/>
              <w:right w:w="100" w:type="dxa"/>
            </w:tcMar>
          </w:tcPr>
          <w:p w14:paraId="08ECA550" w14:textId="77777777" w:rsidR="009D2FD2" w:rsidRDefault="00000000">
            <w:pPr>
              <w:pStyle w:val="Tablacelda"/>
            </w:pPr>
            <w:r>
              <w:t>3,875 − 3,7 ≈ 0,2 %</w:t>
            </w:r>
          </w:p>
        </w:tc>
      </w:tr>
      <w:tr w:rsidR="009D2FD2" w14:paraId="09AB89FA" w14:textId="77777777">
        <w:tc>
          <w:tcPr>
            <w:tcW w:w="2300" w:type="dxa"/>
            <w:tcBorders>
              <w:top w:val="nil"/>
              <w:left w:val="nil"/>
              <w:bottom w:val="nil"/>
              <w:right w:val="nil"/>
            </w:tcBorders>
            <w:tcMar>
              <w:top w:w="60" w:type="dxa"/>
              <w:left w:w="100" w:type="dxa"/>
              <w:bottom w:w="60" w:type="dxa"/>
              <w:right w:w="100" w:type="dxa"/>
            </w:tcMar>
          </w:tcPr>
          <w:p w14:paraId="6EF4E705" w14:textId="77777777" w:rsidR="009D2FD2" w:rsidRDefault="00000000">
            <w:pPr>
              <w:pStyle w:val="Tablacelda"/>
            </w:pPr>
            <w:r>
              <w:t>Señal de próximos pasos</w:t>
            </w:r>
          </w:p>
        </w:tc>
        <w:tc>
          <w:tcPr>
            <w:tcW w:w="3530" w:type="dxa"/>
            <w:tcBorders>
              <w:top w:val="nil"/>
              <w:left w:val="nil"/>
              <w:bottom w:val="nil"/>
              <w:right w:val="nil"/>
            </w:tcBorders>
            <w:tcMar>
              <w:top w:w="60" w:type="dxa"/>
              <w:left w:w="100" w:type="dxa"/>
              <w:bottom w:w="60" w:type="dxa"/>
              <w:right w:w="100" w:type="dxa"/>
            </w:tcMar>
          </w:tcPr>
          <w:p w14:paraId="444F96F0" w14:textId="77777777" w:rsidR="009D2FD2" w:rsidRDefault="00000000">
            <w:pPr>
              <w:pStyle w:val="Tablacelda"/>
            </w:pPr>
            <w:r>
              <w:t>Postura restrictiva; atento a El Niño, a la reconstrucción tras el terremoto y a las medidas fiscales</w:t>
            </w:r>
          </w:p>
        </w:tc>
        <w:tc>
          <w:tcPr>
            <w:tcW w:w="3530" w:type="dxa"/>
            <w:tcBorders>
              <w:top w:val="nil"/>
              <w:left w:val="nil"/>
              <w:bottom w:val="nil"/>
              <w:right w:val="nil"/>
            </w:tcBorders>
            <w:tcMar>
              <w:top w:w="60" w:type="dxa"/>
              <w:left w:w="100" w:type="dxa"/>
              <w:bottom w:w="60" w:type="dxa"/>
              <w:right w:w="100" w:type="dxa"/>
            </w:tcMar>
          </w:tcPr>
          <w:p w14:paraId="3C5E5339" w14:textId="77777777" w:rsidR="009D2FD2" w:rsidRDefault="00000000">
            <w:pPr>
              <w:pStyle w:val="Tablacelda"/>
            </w:pPr>
            <w:r>
              <w:t>16 de 18 miembros esperan otra alza en 2026; mediana de 4,1 % para 2026 y 2027</w:t>
            </w:r>
          </w:p>
        </w:tc>
      </w:tr>
      <w:tr w:rsidR="009D2FD2" w14:paraId="56D4E53F" w14:textId="77777777">
        <w:tc>
          <w:tcPr>
            <w:tcW w:w="2300" w:type="dxa"/>
            <w:tcBorders>
              <w:top w:val="nil"/>
              <w:left w:val="nil"/>
              <w:bottom w:val="single" w:sz="8" w:space="0" w:color="000000"/>
              <w:right w:val="nil"/>
            </w:tcBorders>
            <w:tcMar>
              <w:top w:w="60" w:type="dxa"/>
              <w:left w:w="100" w:type="dxa"/>
              <w:bottom w:w="60" w:type="dxa"/>
              <w:right w:w="100" w:type="dxa"/>
            </w:tcMar>
          </w:tcPr>
          <w:p w14:paraId="14D8EE40" w14:textId="77777777" w:rsidR="009D2FD2" w:rsidRDefault="00000000">
            <w:pPr>
              <w:pStyle w:val="Tablacelda"/>
            </w:pPr>
            <w:r>
              <w:t>Próxima reunión</w:t>
            </w:r>
          </w:p>
        </w:tc>
        <w:tc>
          <w:tcPr>
            <w:tcW w:w="3530" w:type="dxa"/>
            <w:tcBorders>
              <w:top w:val="nil"/>
              <w:left w:val="nil"/>
              <w:bottom w:val="single" w:sz="8" w:space="0" w:color="000000"/>
              <w:right w:val="nil"/>
            </w:tcBorders>
            <w:tcMar>
              <w:top w:w="60" w:type="dxa"/>
              <w:left w:w="100" w:type="dxa"/>
              <w:bottom w:w="60" w:type="dxa"/>
              <w:right w:w="100" w:type="dxa"/>
            </w:tcMar>
          </w:tcPr>
          <w:p w14:paraId="6138CA17" w14:textId="77777777" w:rsidR="009D2FD2" w:rsidRDefault="00000000">
            <w:pPr>
              <w:pStyle w:val="Tablacelda"/>
            </w:pPr>
            <w:r>
              <w:t>Finales de octubre</w:t>
            </w:r>
          </w:p>
        </w:tc>
        <w:tc>
          <w:tcPr>
            <w:tcW w:w="3530" w:type="dxa"/>
            <w:tcBorders>
              <w:top w:val="nil"/>
              <w:left w:val="nil"/>
              <w:bottom w:val="single" w:sz="8" w:space="0" w:color="000000"/>
              <w:right w:val="nil"/>
            </w:tcBorders>
            <w:tcMar>
              <w:top w:w="60" w:type="dxa"/>
              <w:left w:w="100" w:type="dxa"/>
              <w:bottom w:w="60" w:type="dxa"/>
              <w:right w:w="100" w:type="dxa"/>
            </w:tcMar>
          </w:tcPr>
          <w:p w14:paraId="5AADC113" w14:textId="77777777" w:rsidR="009D2FD2" w:rsidRDefault="00000000">
            <w:pPr>
              <w:pStyle w:val="Tablacelda"/>
            </w:pPr>
            <w:r>
              <w:t>27 y 28 de octubre (comunicado el 28)</w:t>
            </w:r>
          </w:p>
        </w:tc>
      </w:tr>
    </w:tbl>
    <w:p w14:paraId="406B7894" w14:textId="5DF39547" w:rsidR="009D2FD2" w:rsidRDefault="00000000">
      <w:pPr>
        <w:pStyle w:val="Nota"/>
      </w:pPr>
      <w:r>
        <w:t xml:space="preserve">Fuentes: </w:t>
      </w:r>
      <w:hyperlink r:id="rId11" w:history="1">
        <w:r w:rsidR="009D2FD2">
          <w:rPr>
            <w:rStyle w:val="Hipervnculo"/>
          </w:rPr>
          <w:t>Portafolio (2026b)</w:t>
        </w:r>
      </w:hyperlink>
      <w:r>
        <w:t xml:space="preserve">, </w:t>
      </w:r>
      <w:hyperlink r:id="rId12" w:history="1">
        <w:r w:rsidR="009D2FD2">
          <w:rPr>
            <w:rStyle w:val="Hipervnculo"/>
          </w:rPr>
          <w:t>Chase (2026)</w:t>
        </w:r>
      </w:hyperlink>
      <w:r>
        <w:t xml:space="preserve">, </w:t>
      </w:r>
      <w:hyperlink r:id="rId13" w:history="1">
        <w:r w:rsidR="009D2FD2">
          <w:rPr>
            <w:rStyle w:val="Hipervnculo"/>
          </w:rPr>
          <w:t>Forex Fundamentals (2026)</w:t>
        </w:r>
      </w:hyperlink>
      <w:r>
        <w:t xml:space="preserve">, </w:t>
      </w:r>
      <w:hyperlink r:id="rId14" w:history="1">
        <w:r w:rsidR="009D2FD2">
          <w:rPr>
            <w:rStyle w:val="Hipervnculo"/>
          </w:rPr>
          <w:t>PrimeRates (2026)</w:t>
        </w:r>
      </w:hyperlink>
      <w:r>
        <w:t>.</w:t>
      </w:r>
    </w:p>
    <w:p w14:paraId="75FDA5AC" w14:textId="77777777" w:rsidR="009D2FD2" w:rsidRDefault="00000000">
      <w:r>
        <w:t>Para el peso, el riesgo está en que el diferencial se reduzca: eso ocurriría si la Fed sube más de lo esperado o si el Banco de la República se detiene. En la de finales de octubre del 2026, el mercado le asigna una probabilidad de 80,5 % a que la Fed mantenga su tasa (</w:t>
      </w:r>
      <w:hyperlink r:id="rId15" w:history="1">
        <w:r w:rsidR="009D2FD2">
          <w:rPr>
            <w:rStyle w:val="Hipervnculo"/>
          </w:rPr>
          <w:t>Portafolio, 2026d</w:t>
        </w:r>
      </w:hyperlink>
      <w:r>
        <w:t>), mientras que en Colombia cinco de los siete directores votaron por subir en septiembre (</w:t>
      </w:r>
      <w:hyperlink r:id="rId16" w:history="1">
        <w:r w:rsidR="009D2FD2">
          <w:rPr>
            <w:rStyle w:val="Hipervnculo"/>
          </w:rPr>
          <w:t>Global66, 2026</w:t>
        </w:r>
      </w:hyperlink>
      <w:r>
        <w:t>), por lo que otra alza local es probable. En el corto plazo, entonces, el diferencial se mantendría. El debilitamiento esperado se concentra en 2027, cuando el Banco de la República debería empezar a bajar tasas si la inflación cede como se espera.</w:t>
      </w:r>
    </w:p>
    <w:p w14:paraId="1EC9A482" w14:textId="77777777" w:rsidR="009D2FD2" w:rsidRDefault="00000000">
      <w:pPr>
        <w:pStyle w:val="TtuloAPAnivel2"/>
      </w:pPr>
      <w:r>
        <w:t>Inflación esperada</w:t>
      </w:r>
    </w:p>
    <w:p w14:paraId="38B8CDCB" w14:textId="77777777" w:rsidR="009D2FD2" w:rsidRDefault="00000000">
      <w:r>
        <w:t>La inflación colombiana sigue subiendo y supera a la estadounidense en 2,59 puntos porcentuales. A largo plazo, una inflación más alta en Colombia presiona al peso hacia abajo, aunque las tasas altas compensan ese efecto mientras se mantenga el aumento. En Colombia, la inflación anual llegó a 6,29 % en septiembre, el dato más alto desde julio de 2024 (</w:t>
      </w:r>
      <w:hyperlink r:id="rId17" w:history="1">
        <w:r w:rsidR="009D2FD2">
          <w:rPr>
            <w:rStyle w:val="Hipervnculo"/>
          </w:rPr>
          <w:t>Portafolio, 2026c</w:t>
        </w:r>
      </w:hyperlink>
      <w:r>
        <w:t>), y la inflación básica fue 6,1 % en agosto, la mayor en un año. Los analistas esperan 6,8 % en diciembre de 2026 y solo 4,0 % a dos años, y el Banco de la República afirma que su postura es consistente con una inflación a la baja en 2027 (</w:t>
      </w:r>
      <w:hyperlink r:id="rId18" w:history="1">
        <w:r w:rsidR="009D2FD2">
          <w:rPr>
            <w:rStyle w:val="Hipervnculo"/>
          </w:rPr>
          <w:t>Portafolio, 2026b</w:t>
        </w:r>
      </w:hyperlink>
      <w:r>
        <w:t>).</w:t>
      </w:r>
    </w:p>
    <w:p w14:paraId="24BBB1ED" w14:textId="77777777" w:rsidR="009D2FD2" w:rsidRDefault="00000000">
      <w:r>
        <w:lastRenderedPageBreak/>
        <w:t>En Estados Unidos, la inflación anual subió de 3,4 % en agosto a 3,7 % en septiembre, por encima del 3,6 % que esperaba el mercado (</w:t>
      </w:r>
      <w:hyperlink r:id="rId19" w:history="1">
        <w:r w:rsidR="009D2FD2">
          <w:rPr>
            <w:rStyle w:val="Hipervnculo"/>
          </w:rPr>
          <w:t>Forex Fundamentals, 2026, con datos del BLS</w:t>
        </w:r>
      </w:hyperlink>
      <w:r>
        <w:t>), parte del alza viene de la energía, encarecida por el conflicto con Irán (</w:t>
      </w:r>
      <w:hyperlink r:id="rId20" w:history="1">
        <w:r w:rsidR="009D2FD2">
          <w:rPr>
            <w:rStyle w:val="Hipervnculo"/>
          </w:rPr>
          <w:t>Chase, 2026</w:t>
        </w:r>
      </w:hyperlink>
      <w:r>
        <w:t>). Si la inflación colombiana no baja en 2027 como espera el banco central, este factor pasaría de a presionar al alza el precio del dólar.</w:t>
      </w:r>
    </w:p>
    <w:p w14:paraId="4FA58805" w14:textId="77777777" w:rsidR="009D2FD2" w:rsidRDefault="00000000">
      <w:pPr>
        <w:pStyle w:val="TtuloAPAnivel2"/>
      </w:pPr>
      <w:r>
        <w:t>Petróleo, balanza de pagos y flujos de inversión</w:t>
      </w:r>
    </w:p>
    <w:p w14:paraId="1C600721" w14:textId="77777777" w:rsidR="009D2FD2" w:rsidRDefault="00000000">
      <w:r>
        <w:t>El petróleo caro y la inversión extranjera directa respaldan al peso, el déficit externo creciente y las salidas de inversión de portafolio lo limitan. El Brent llegó a US$131 el 15 de septiembre por ataques a infraestructura petrolera en Arabia Saudita y flujos restringidos desde Medio Oriente, y el 16 de octubre rondaba US$105. La Administración de Información Energética de EE. UU. (EIA) proyecta un promedio de US$96,32 en 2026 y de US$83,74 en 2027, con US$105 en el cuarto trimestre de 2026 y US$74 en el cuarto trimestre de 2027 (</w:t>
      </w:r>
      <w:proofErr w:type="spellStart"/>
      <w:r>
        <w:fldChar w:fldCharType="begin"/>
      </w:r>
      <w:r>
        <w:instrText>HYPERLINK "https://www.rigzone.com/news/eia_boosts_oil_price_forecast_by_5_in_2026_10_in_2027-08-oct-2026-184805-article/"</w:instrText>
      </w:r>
      <w:r>
        <w:fldChar w:fldCharType="separate"/>
      </w:r>
      <w:r>
        <w:rPr>
          <w:rStyle w:val="Hipervnculo"/>
        </w:rPr>
        <w:t>Rigzone</w:t>
      </w:r>
      <w:proofErr w:type="spellEnd"/>
      <w:r>
        <w:rPr>
          <w:rStyle w:val="Hipervnculo"/>
        </w:rPr>
        <w:t>, 2026, con el informe STEO de octubre</w:t>
      </w:r>
      <w:r>
        <w:fldChar w:fldCharType="end"/>
      </w:r>
      <w:r>
        <w:t>). Como el petróleo es el principal producto de exportación de Colombia, la caída prevista en 2027 reduciría la entrada de dólares y le quitaría gran parte del apoyo al peso.</w:t>
      </w:r>
    </w:p>
    <w:p w14:paraId="2AFE3244" w14:textId="77777777" w:rsidR="00D20524" w:rsidRDefault="00000000">
      <w:pPr>
        <w:pStyle w:val="Rtulotablaofigura"/>
      </w:pPr>
      <w:r>
        <w:rPr>
          <w:b/>
          <w:bCs/>
        </w:rPr>
        <w:t>Tabla 3</w:t>
      </w:r>
    </w:p>
    <w:p w14:paraId="74DB13CC" w14:textId="77777777" w:rsidR="00D20524" w:rsidRDefault="00000000">
      <w:pPr>
        <w:pStyle w:val="Ttulotablaofigura"/>
      </w:pPr>
      <w:r>
        <w:t>Balanza de pagos de Colombia, primer semestre de 2026</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4200"/>
        <w:gridCol w:w="5160"/>
      </w:tblGrid>
      <w:tr w:rsidR="009D2FD2" w14:paraId="10D0D194" w14:textId="77777777">
        <w:trPr>
          <w:tblHeader/>
        </w:trPr>
        <w:tc>
          <w:tcPr>
            <w:tcW w:w="42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39362B0" w14:textId="77777777" w:rsidR="009D2FD2" w:rsidRDefault="00000000">
            <w:pPr>
              <w:pStyle w:val="Tablacelda"/>
            </w:pPr>
            <w:r>
              <w:rPr>
                <w:b/>
                <w:bCs/>
              </w:rPr>
              <w:t>Balanza de pagos, primer semestre de 2026</w:t>
            </w:r>
          </w:p>
        </w:tc>
        <w:tc>
          <w:tcPr>
            <w:tcW w:w="51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83DAADE" w14:textId="77777777" w:rsidR="009D2FD2" w:rsidRDefault="00000000">
            <w:pPr>
              <w:pStyle w:val="Tablacelda"/>
            </w:pPr>
            <w:r>
              <w:rPr>
                <w:b/>
                <w:bCs/>
              </w:rPr>
              <w:t>Dato</w:t>
            </w:r>
          </w:p>
        </w:tc>
      </w:tr>
      <w:tr w:rsidR="009D2FD2" w14:paraId="2C57EDB1" w14:textId="77777777">
        <w:tc>
          <w:tcPr>
            <w:tcW w:w="4200" w:type="dxa"/>
            <w:tcBorders>
              <w:top w:val="nil"/>
              <w:left w:val="nil"/>
              <w:bottom w:val="nil"/>
              <w:right w:val="nil"/>
            </w:tcBorders>
            <w:tcMar>
              <w:top w:w="60" w:type="dxa"/>
              <w:left w:w="100" w:type="dxa"/>
              <w:bottom w:w="60" w:type="dxa"/>
              <w:right w:w="100" w:type="dxa"/>
            </w:tcMar>
          </w:tcPr>
          <w:p w14:paraId="3604E6D2" w14:textId="77777777" w:rsidR="009D2FD2" w:rsidRDefault="00000000">
            <w:pPr>
              <w:pStyle w:val="Tablacelda"/>
            </w:pPr>
            <w:r>
              <w:t>Déficit de cuenta corriente</w:t>
            </w:r>
          </w:p>
        </w:tc>
        <w:tc>
          <w:tcPr>
            <w:tcW w:w="5160" w:type="dxa"/>
            <w:tcBorders>
              <w:top w:val="nil"/>
              <w:left w:val="nil"/>
              <w:bottom w:val="nil"/>
              <w:right w:val="nil"/>
            </w:tcBorders>
            <w:tcMar>
              <w:top w:w="60" w:type="dxa"/>
              <w:left w:w="100" w:type="dxa"/>
              <w:bottom w:w="60" w:type="dxa"/>
              <w:right w:w="100" w:type="dxa"/>
            </w:tcMar>
          </w:tcPr>
          <w:p w14:paraId="7517C7C6" w14:textId="77777777" w:rsidR="009D2FD2" w:rsidRDefault="00000000">
            <w:pPr>
              <w:pStyle w:val="Tablacelda"/>
            </w:pPr>
            <w:r>
              <w:t>US$5.981 millones (2,3 % del PIB; 2,0 % un año antes)</w:t>
            </w:r>
          </w:p>
        </w:tc>
      </w:tr>
      <w:tr w:rsidR="009D2FD2" w14:paraId="04B48F9C" w14:textId="77777777">
        <w:tc>
          <w:tcPr>
            <w:tcW w:w="4200" w:type="dxa"/>
            <w:tcBorders>
              <w:top w:val="nil"/>
              <w:left w:val="nil"/>
              <w:bottom w:val="nil"/>
              <w:right w:val="nil"/>
            </w:tcBorders>
            <w:tcMar>
              <w:top w:w="60" w:type="dxa"/>
              <w:left w:w="100" w:type="dxa"/>
              <w:bottom w:w="60" w:type="dxa"/>
              <w:right w:w="100" w:type="dxa"/>
            </w:tcMar>
          </w:tcPr>
          <w:p w14:paraId="44467565" w14:textId="77777777" w:rsidR="009D2FD2" w:rsidRDefault="00000000">
            <w:pPr>
              <w:pStyle w:val="Tablacelda"/>
            </w:pPr>
            <w:r>
              <w:t>Exportaciones de bienes</w:t>
            </w:r>
          </w:p>
        </w:tc>
        <w:tc>
          <w:tcPr>
            <w:tcW w:w="5160" w:type="dxa"/>
            <w:tcBorders>
              <w:top w:val="nil"/>
              <w:left w:val="nil"/>
              <w:bottom w:val="nil"/>
              <w:right w:val="nil"/>
            </w:tcBorders>
            <w:tcMar>
              <w:top w:w="60" w:type="dxa"/>
              <w:left w:w="100" w:type="dxa"/>
              <w:bottom w:w="60" w:type="dxa"/>
              <w:right w:w="100" w:type="dxa"/>
            </w:tcMar>
          </w:tcPr>
          <w:p w14:paraId="5E127237" w14:textId="77777777" w:rsidR="009D2FD2" w:rsidRDefault="00000000">
            <w:pPr>
              <w:pStyle w:val="Tablacelda"/>
            </w:pPr>
            <w:r>
              <w:t>US$28.344 millones (+13,6 %; oro y petróleo)</w:t>
            </w:r>
          </w:p>
        </w:tc>
      </w:tr>
      <w:tr w:rsidR="009D2FD2" w14:paraId="2A0F7A03" w14:textId="77777777">
        <w:tc>
          <w:tcPr>
            <w:tcW w:w="4200" w:type="dxa"/>
            <w:tcBorders>
              <w:top w:val="nil"/>
              <w:left w:val="nil"/>
              <w:bottom w:val="nil"/>
              <w:right w:val="nil"/>
            </w:tcBorders>
            <w:tcMar>
              <w:top w:w="60" w:type="dxa"/>
              <w:left w:w="100" w:type="dxa"/>
              <w:bottom w:w="60" w:type="dxa"/>
              <w:right w:w="100" w:type="dxa"/>
            </w:tcMar>
          </w:tcPr>
          <w:p w14:paraId="1DF60F2B" w14:textId="77777777" w:rsidR="009D2FD2" w:rsidRDefault="00000000">
            <w:pPr>
              <w:pStyle w:val="Tablacelda"/>
            </w:pPr>
            <w:r>
              <w:t>Importaciones de bienes</w:t>
            </w:r>
          </w:p>
        </w:tc>
        <w:tc>
          <w:tcPr>
            <w:tcW w:w="5160" w:type="dxa"/>
            <w:tcBorders>
              <w:top w:val="nil"/>
              <w:left w:val="nil"/>
              <w:bottom w:val="nil"/>
              <w:right w:val="nil"/>
            </w:tcBorders>
            <w:tcMar>
              <w:top w:w="60" w:type="dxa"/>
              <w:left w:w="100" w:type="dxa"/>
              <w:bottom w:w="60" w:type="dxa"/>
              <w:right w:w="100" w:type="dxa"/>
            </w:tcMar>
          </w:tcPr>
          <w:p w14:paraId="03B0A0A5" w14:textId="77777777" w:rsidR="009D2FD2" w:rsidRDefault="00000000">
            <w:pPr>
              <w:pStyle w:val="Tablacelda"/>
            </w:pPr>
            <w:r>
              <w:t>US$36.155 millones (+14,2 %; bienes de consumo y de capital)</w:t>
            </w:r>
          </w:p>
        </w:tc>
      </w:tr>
      <w:tr w:rsidR="009D2FD2" w14:paraId="0BF2722D" w14:textId="77777777">
        <w:tc>
          <w:tcPr>
            <w:tcW w:w="4200" w:type="dxa"/>
            <w:tcBorders>
              <w:top w:val="nil"/>
              <w:left w:val="nil"/>
              <w:bottom w:val="nil"/>
              <w:right w:val="nil"/>
            </w:tcBorders>
            <w:tcMar>
              <w:top w:w="60" w:type="dxa"/>
              <w:left w:w="100" w:type="dxa"/>
              <w:bottom w:w="60" w:type="dxa"/>
              <w:right w:w="100" w:type="dxa"/>
            </w:tcMar>
          </w:tcPr>
          <w:p w14:paraId="2EC8950A" w14:textId="77777777" w:rsidR="009D2FD2" w:rsidRDefault="00000000">
            <w:pPr>
              <w:pStyle w:val="Tablacelda"/>
            </w:pPr>
            <w:r>
              <w:t>Inversión extranjera directa</w:t>
            </w:r>
          </w:p>
        </w:tc>
        <w:tc>
          <w:tcPr>
            <w:tcW w:w="5160" w:type="dxa"/>
            <w:tcBorders>
              <w:top w:val="nil"/>
              <w:left w:val="nil"/>
              <w:bottom w:val="nil"/>
              <w:right w:val="nil"/>
            </w:tcBorders>
            <w:tcMar>
              <w:top w:w="60" w:type="dxa"/>
              <w:left w:w="100" w:type="dxa"/>
              <w:bottom w:w="60" w:type="dxa"/>
              <w:right w:w="100" w:type="dxa"/>
            </w:tcMar>
          </w:tcPr>
          <w:p w14:paraId="600A7334" w14:textId="77777777" w:rsidR="009D2FD2" w:rsidRDefault="00000000">
            <w:pPr>
              <w:pStyle w:val="Tablacelda"/>
            </w:pPr>
            <w:r>
              <w:t>US$8.138 millones (+31,1 %; 3,1 % del PIB)</w:t>
            </w:r>
          </w:p>
        </w:tc>
      </w:tr>
      <w:tr w:rsidR="009D2FD2" w14:paraId="20D75FC4" w14:textId="77777777">
        <w:tc>
          <w:tcPr>
            <w:tcW w:w="4200" w:type="dxa"/>
            <w:tcBorders>
              <w:top w:val="nil"/>
              <w:left w:val="nil"/>
              <w:bottom w:val="nil"/>
              <w:right w:val="nil"/>
            </w:tcBorders>
            <w:tcMar>
              <w:top w:w="60" w:type="dxa"/>
              <w:left w:w="100" w:type="dxa"/>
              <w:bottom w:w="60" w:type="dxa"/>
              <w:right w:w="100" w:type="dxa"/>
            </w:tcMar>
          </w:tcPr>
          <w:p w14:paraId="6F12EB7B" w14:textId="77777777" w:rsidR="009D2FD2" w:rsidRDefault="00000000">
            <w:pPr>
              <w:pStyle w:val="Tablacelda"/>
            </w:pPr>
            <w:r>
              <w:t>Inversión de portafolio extranjera</w:t>
            </w:r>
          </w:p>
        </w:tc>
        <w:tc>
          <w:tcPr>
            <w:tcW w:w="5160" w:type="dxa"/>
            <w:tcBorders>
              <w:top w:val="nil"/>
              <w:left w:val="nil"/>
              <w:bottom w:val="nil"/>
              <w:right w:val="nil"/>
            </w:tcBorders>
            <w:tcMar>
              <w:top w:w="60" w:type="dxa"/>
              <w:left w:w="100" w:type="dxa"/>
              <w:bottom w:w="60" w:type="dxa"/>
              <w:right w:w="100" w:type="dxa"/>
            </w:tcMar>
          </w:tcPr>
          <w:p w14:paraId="43E0C44C" w14:textId="77777777" w:rsidR="009D2FD2" w:rsidRDefault="00000000">
            <w:pPr>
              <w:pStyle w:val="Tablacelda"/>
            </w:pPr>
            <w:r>
              <w:t>Salidas netas de US$3.032 millones</w:t>
            </w:r>
          </w:p>
        </w:tc>
      </w:tr>
      <w:tr w:rsidR="009D2FD2" w14:paraId="26735AFF" w14:textId="77777777">
        <w:tc>
          <w:tcPr>
            <w:tcW w:w="4200" w:type="dxa"/>
            <w:tcBorders>
              <w:top w:val="nil"/>
              <w:left w:val="nil"/>
              <w:bottom w:val="single" w:sz="8" w:space="0" w:color="000000"/>
              <w:right w:val="nil"/>
            </w:tcBorders>
            <w:tcMar>
              <w:top w:w="60" w:type="dxa"/>
              <w:left w:w="100" w:type="dxa"/>
              <w:bottom w:w="60" w:type="dxa"/>
              <w:right w:w="100" w:type="dxa"/>
            </w:tcMar>
          </w:tcPr>
          <w:p w14:paraId="0181B8F9" w14:textId="77777777" w:rsidR="009D2FD2" w:rsidRDefault="00000000">
            <w:pPr>
              <w:pStyle w:val="Tablacelda"/>
            </w:pPr>
            <w:r>
              <w:t>Posición de inversión internacional neta</w:t>
            </w:r>
          </w:p>
        </w:tc>
        <w:tc>
          <w:tcPr>
            <w:tcW w:w="5160" w:type="dxa"/>
            <w:tcBorders>
              <w:top w:val="nil"/>
              <w:left w:val="nil"/>
              <w:bottom w:val="single" w:sz="8" w:space="0" w:color="000000"/>
              <w:right w:val="nil"/>
            </w:tcBorders>
            <w:tcMar>
              <w:top w:w="60" w:type="dxa"/>
              <w:left w:w="100" w:type="dxa"/>
              <w:bottom w:w="60" w:type="dxa"/>
              <w:right w:w="100" w:type="dxa"/>
            </w:tcMar>
          </w:tcPr>
          <w:p w14:paraId="68A1E8F8" w14:textId="77777777" w:rsidR="009D2FD2" w:rsidRDefault="00000000">
            <w:pPr>
              <w:pStyle w:val="Tablacelda"/>
            </w:pPr>
            <w:r>
              <w:t>−US$204.240 millones (≈ 40 % del PIB)</w:t>
            </w:r>
          </w:p>
        </w:tc>
      </w:tr>
    </w:tbl>
    <w:p w14:paraId="3276B2F7" w14:textId="13AF0813" w:rsidR="009D2FD2" w:rsidRDefault="00000000">
      <w:pPr>
        <w:pStyle w:val="Nota"/>
      </w:pPr>
      <w:r>
        <w:rPr>
          <w:i/>
          <w:iCs/>
        </w:rPr>
        <w:t xml:space="preserve"> </w:t>
      </w:r>
      <w:r>
        <w:t xml:space="preserve">Fuente: </w:t>
      </w:r>
      <w:hyperlink r:id="rId21" w:history="1">
        <w:r w:rsidR="009D2FD2">
          <w:rPr>
            <w:rStyle w:val="Hipervnculo"/>
          </w:rPr>
          <w:t>Bloomberg Línea (2026), con datos del Banco de la República</w:t>
        </w:r>
      </w:hyperlink>
      <w:r>
        <w:t>.</w:t>
      </w:r>
    </w:p>
    <w:p w14:paraId="0EBC8EC4" w14:textId="77777777" w:rsidR="009D2FD2" w:rsidRDefault="00000000">
      <w:r>
        <w:lastRenderedPageBreak/>
        <w:t>Bancolombia proyecta un déficit corriente de 2,5 % a 2,8 % del PIB para 2026 y remesas estables cerca de 3,4 % del PIB (</w:t>
      </w:r>
      <w:hyperlink r:id="rId22" w:history="1">
        <w:r w:rsidR="009D2FD2">
          <w:rPr>
            <w:rStyle w:val="Hipervnculo"/>
          </w:rPr>
          <w:t>Valora Analitik, 2026</w:t>
        </w:r>
      </w:hyperlink>
      <w:r>
        <w:t>); Credicorp Capital lo estima en 2,7 % (</w:t>
      </w:r>
      <w:hyperlink r:id="rId23" w:history="1">
        <w:r w:rsidR="009D2FD2">
          <w:rPr>
            <w:rStyle w:val="Hipervnculo"/>
          </w:rPr>
          <w:t>Portafolio, 2026a</w:t>
        </w:r>
      </w:hyperlink>
      <w:r>
        <w:t>). Se puede decir que la inversión directa todavía alcanza a financiar el déficit, pero también se muestra que a corto plazo los inversionistas pueden reaccionar a un cambio de exposición la riesgo.</w:t>
      </w:r>
    </w:p>
    <w:p w14:paraId="72BDB14B" w14:textId="77777777" w:rsidR="009D2FD2" w:rsidRDefault="00000000">
      <w:pPr>
        <w:pStyle w:val="TtuloAPAnivel2"/>
      </w:pPr>
      <w:r>
        <w:t>Riesgo país</w:t>
      </w:r>
    </w:p>
    <w:p w14:paraId="72477E02" w14:textId="77777777" w:rsidR="00D20524" w:rsidRDefault="00000000">
      <w:pPr>
        <w:pStyle w:val="Rtulotablaofigura"/>
      </w:pPr>
      <w:r>
        <w:rPr>
          <w:b/>
          <w:bCs/>
        </w:rPr>
        <w:t>Tabla 4</w:t>
      </w:r>
    </w:p>
    <w:p w14:paraId="3BBA04FE" w14:textId="77777777" w:rsidR="00D20524" w:rsidRDefault="00000000">
      <w:pPr>
        <w:pStyle w:val="Ttulotablaofigura"/>
      </w:pPr>
      <w:r>
        <w:t>Calificación soberana de Colombia</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1700"/>
        <w:gridCol w:w="2200"/>
        <w:gridCol w:w="1500"/>
        <w:gridCol w:w="3960"/>
      </w:tblGrid>
      <w:tr w:rsidR="009D2FD2" w14:paraId="069E7E1E" w14:textId="77777777">
        <w:trPr>
          <w:tblHeader/>
        </w:trPr>
        <w:tc>
          <w:tcPr>
            <w:tcW w:w="1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A5E5E43" w14:textId="77777777" w:rsidR="009D2FD2" w:rsidRDefault="00000000">
            <w:pPr>
              <w:pStyle w:val="Tablacelda"/>
            </w:pPr>
            <w:r>
              <w:rPr>
                <w:b/>
                <w:bCs/>
              </w:rPr>
              <w:t>Calificadora</w:t>
            </w:r>
          </w:p>
        </w:tc>
        <w:tc>
          <w:tcPr>
            <w:tcW w:w="22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1530FF3" w14:textId="77777777" w:rsidR="009D2FD2" w:rsidRDefault="00000000">
            <w:pPr>
              <w:pStyle w:val="Tablacelda"/>
            </w:pPr>
            <w:r>
              <w:rPr>
                <w:b/>
                <w:bCs/>
              </w:rPr>
              <w:t xml:space="preserve">Nota </w:t>
            </w:r>
          </w:p>
        </w:tc>
        <w:tc>
          <w:tcPr>
            <w:tcW w:w="15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A97AE6D" w14:textId="77777777" w:rsidR="009D2FD2" w:rsidRDefault="00000000">
            <w:pPr>
              <w:pStyle w:val="Tablacelda"/>
            </w:pPr>
            <w:r>
              <w:rPr>
                <w:b/>
                <w:bCs/>
              </w:rPr>
              <w:t>Perspectiva</w:t>
            </w:r>
          </w:p>
        </w:tc>
        <w:tc>
          <w:tcPr>
            <w:tcW w:w="39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80B5A93" w14:textId="77777777" w:rsidR="009D2FD2" w:rsidRDefault="00000000">
            <w:pPr>
              <w:pStyle w:val="Tablacelda"/>
            </w:pPr>
            <w:r>
              <w:rPr>
                <w:b/>
                <w:bCs/>
              </w:rPr>
              <w:t>Acción más reciente</w:t>
            </w:r>
          </w:p>
        </w:tc>
      </w:tr>
      <w:tr w:rsidR="009D2FD2" w14:paraId="03CA19DE" w14:textId="77777777">
        <w:tc>
          <w:tcPr>
            <w:tcW w:w="1700" w:type="dxa"/>
            <w:tcBorders>
              <w:top w:val="nil"/>
              <w:left w:val="nil"/>
              <w:bottom w:val="nil"/>
              <w:right w:val="nil"/>
            </w:tcBorders>
            <w:tcMar>
              <w:top w:w="60" w:type="dxa"/>
              <w:left w:w="100" w:type="dxa"/>
              <w:bottom w:w="60" w:type="dxa"/>
              <w:right w:w="100" w:type="dxa"/>
            </w:tcMar>
          </w:tcPr>
          <w:p w14:paraId="0958E7AB" w14:textId="77777777" w:rsidR="009D2FD2" w:rsidRDefault="00000000">
            <w:pPr>
              <w:pStyle w:val="Tablacelda"/>
            </w:pPr>
            <w:r>
              <w:t>S&amp;P</w:t>
            </w:r>
          </w:p>
        </w:tc>
        <w:tc>
          <w:tcPr>
            <w:tcW w:w="2200" w:type="dxa"/>
            <w:tcBorders>
              <w:top w:val="nil"/>
              <w:left w:val="nil"/>
              <w:bottom w:val="nil"/>
              <w:right w:val="nil"/>
            </w:tcBorders>
            <w:tcMar>
              <w:top w:w="60" w:type="dxa"/>
              <w:left w:w="100" w:type="dxa"/>
              <w:bottom w:w="60" w:type="dxa"/>
              <w:right w:w="100" w:type="dxa"/>
            </w:tcMar>
          </w:tcPr>
          <w:p w14:paraId="32BC4963" w14:textId="77777777" w:rsidR="009D2FD2" w:rsidRDefault="00000000">
            <w:pPr>
              <w:pStyle w:val="Tablacelda"/>
            </w:pPr>
            <w:r>
              <w:t>BB−</w:t>
            </w:r>
          </w:p>
        </w:tc>
        <w:tc>
          <w:tcPr>
            <w:tcW w:w="1500" w:type="dxa"/>
            <w:tcBorders>
              <w:top w:val="nil"/>
              <w:left w:val="nil"/>
              <w:bottom w:val="nil"/>
              <w:right w:val="nil"/>
            </w:tcBorders>
            <w:tcMar>
              <w:top w:w="60" w:type="dxa"/>
              <w:left w:w="100" w:type="dxa"/>
              <w:bottom w:w="60" w:type="dxa"/>
              <w:right w:w="100" w:type="dxa"/>
            </w:tcMar>
          </w:tcPr>
          <w:p w14:paraId="7C5832A1" w14:textId="77777777" w:rsidR="009D2FD2" w:rsidRDefault="00000000">
            <w:pPr>
              <w:pStyle w:val="Tablacelda"/>
            </w:pPr>
            <w:r>
              <w:t>Estable</w:t>
            </w:r>
          </w:p>
        </w:tc>
        <w:tc>
          <w:tcPr>
            <w:tcW w:w="3960" w:type="dxa"/>
            <w:tcBorders>
              <w:top w:val="nil"/>
              <w:left w:val="nil"/>
              <w:bottom w:val="nil"/>
              <w:right w:val="nil"/>
            </w:tcBorders>
            <w:tcMar>
              <w:top w:w="60" w:type="dxa"/>
              <w:left w:w="100" w:type="dxa"/>
              <w:bottom w:w="60" w:type="dxa"/>
              <w:right w:w="100" w:type="dxa"/>
            </w:tcMar>
          </w:tcPr>
          <w:p w14:paraId="5E9B3842" w14:textId="77777777" w:rsidR="009D2FD2" w:rsidRDefault="00000000">
            <w:pPr>
              <w:pStyle w:val="Tablacelda"/>
            </w:pPr>
            <w:r>
              <w:t>Rebaja el 8 de abril de 2026 (</w:t>
            </w:r>
            <w:hyperlink r:id="rId24" w:history="1">
              <w:r w:rsidR="009D2FD2">
                <w:rPr>
                  <w:rStyle w:val="Hipervnculo"/>
                </w:rPr>
                <w:t>El Espectador, 2026</w:t>
              </w:r>
            </w:hyperlink>
            <w:r>
              <w:t>)</w:t>
            </w:r>
          </w:p>
        </w:tc>
      </w:tr>
      <w:tr w:rsidR="009D2FD2" w14:paraId="605E2A54" w14:textId="77777777">
        <w:tc>
          <w:tcPr>
            <w:tcW w:w="1700" w:type="dxa"/>
            <w:tcBorders>
              <w:top w:val="nil"/>
              <w:left w:val="nil"/>
              <w:bottom w:val="nil"/>
              <w:right w:val="nil"/>
            </w:tcBorders>
            <w:tcMar>
              <w:top w:w="60" w:type="dxa"/>
              <w:left w:w="100" w:type="dxa"/>
              <w:bottom w:w="60" w:type="dxa"/>
              <w:right w:w="100" w:type="dxa"/>
            </w:tcMar>
          </w:tcPr>
          <w:p w14:paraId="7B4EFD9C" w14:textId="77777777" w:rsidR="009D2FD2" w:rsidRDefault="00000000">
            <w:pPr>
              <w:pStyle w:val="Tablacelda"/>
            </w:pPr>
            <w:r>
              <w:t>Fitch</w:t>
            </w:r>
          </w:p>
        </w:tc>
        <w:tc>
          <w:tcPr>
            <w:tcW w:w="2200" w:type="dxa"/>
            <w:tcBorders>
              <w:top w:val="nil"/>
              <w:left w:val="nil"/>
              <w:bottom w:val="nil"/>
              <w:right w:val="nil"/>
            </w:tcBorders>
            <w:tcMar>
              <w:top w:w="60" w:type="dxa"/>
              <w:left w:w="100" w:type="dxa"/>
              <w:bottom w:w="60" w:type="dxa"/>
              <w:right w:w="100" w:type="dxa"/>
            </w:tcMar>
          </w:tcPr>
          <w:p w14:paraId="20645112" w14:textId="77777777" w:rsidR="009D2FD2" w:rsidRDefault="00000000">
            <w:pPr>
              <w:pStyle w:val="Tablacelda"/>
            </w:pPr>
            <w:r>
              <w:t>BB</w:t>
            </w:r>
          </w:p>
        </w:tc>
        <w:tc>
          <w:tcPr>
            <w:tcW w:w="1500" w:type="dxa"/>
            <w:tcBorders>
              <w:top w:val="nil"/>
              <w:left w:val="nil"/>
              <w:bottom w:val="nil"/>
              <w:right w:val="nil"/>
            </w:tcBorders>
            <w:tcMar>
              <w:top w:w="60" w:type="dxa"/>
              <w:left w:w="100" w:type="dxa"/>
              <w:bottom w:w="60" w:type="dxa"/>
              <w:right w:w="100" w:type="dxa"/>
            </w:tcMar>
          </w:tcPr>
          <w:p w14:paraId="4386DBB5" w14:textId="77777777" w:rsidR="009D2FD2" w:rsidRDefault="00000000">
            <w:pPr>
              <w:pStyle w:val="Tablacelda"/>
            </w:pPr>
            <w:r>
              <w:t>Estable</w:t>
            </w:r>
          </w:p>
        </w:tc>
        <w:tc>
          <w:tcPr>
            <w:tcW w:w="3960" w:type="dxa"/>
            <w:tcBorders>
              <w:top w:val="nil"/>
              <w:left w:val="nil"/>
              <w:bottom w:val="nil"/>
              <w:right w:val="nil"/>
            </w:tcBorders>
            <w:tcMar>
              <w:top w:w="60" w:type="dxa"/>
              <w:left w:w="100" w:type="dxa"/>
              <w:bottom w:w="60" w:type="dxa"/>
              <w:right w:w="100" w:type="dxa"/>
            </w:tcMar>
          </w:tcPr>
          <w:p w14:paraId="27A78320" w14:textId="77777777" w:rsidR="009D2FD2" w:rsidRDefault="00000000">
            <w:pPr>
              <w:pStyle w:val="Tablacelda"/>
            </w:pPr>
            <w:r>
              <w:t>Rebaja el 17 de diciembre de 2025 (</w:t>
            </w:r>
            <w:hyperlink r:id="rId25" w:history="1">
              <w:r w:rsidR="009D2FD2">
                <w:rPr>
                  <w:rStyle w:val="Hipervnculo"/>
                </w:rPr>
                <w:t>XTB, 2025</w:t>
              </w:r>
            </w:hyperlink>
            <w:r>
              <w:t>)</w:t>
            </w:r>
          </w:p>
        </w:tc>
      </w:tr>
      <w:tr w:rsidR="009D2FD2" w14:paraId="283813D1" w14:textId="77777777">
        <w:tc>
          <w:tcPr>
            <w:tcW w:w="1700" w:type="dxa"/>
            <w:tcBorders>
              <w:top w:val="nil"/>
              <w:left w:val="nil"/>
              <w:bottom w:val="single" w:sz="8" w:space="0" w:color="000000"/>
              <w:right w:val="nil"/>
            </w:tcBorders>
            <w:tcMar>
              <w:top w:w="60" w:type="dxa"/>
              <w:left w:w="100" w:type="dxa"/>
              <w:bottom w:w="60" w:type="dxa"/>
              <w:right w:w="100" w:type="dxa"/>
            </w:tcMar>
          </w:tcPr>
          <w:p w14:paraId="178AD234" w14:textId="77777777" w:rsidR="009D2FD2" w:rsidRDefault="00000000">
            <w:pPr>
              <w:pStyle w:val="Tablacelda"/>
            </w:pPr>
            <w:r>
              <w:t>Moody's</w:t>
            </w:r>
          </w:p>
        </w:tc>
        <w:tc>
          <w:tcPr>
            <w:tcW w:w="2200" w:type="dxa"/>
            <w:tcBorders>
              <w:top w:val="nil"/>
              <w:left w:val="nil"/>
              <w:bottom w:val="single" w:sz="8" w:space="0" w:color="000000"/>
              <w:right w:val="nil"/>
            </w:tcBorders>
            <w:tcMar>
              <w:top w:w="60" w:type="dxa"/>
              <w:left w:w="100" w:type="dxa"/>
              <w:bottom w:w="60" w:type="dxa"/>
              <w:right w:w="100" w:type="dxa"/>
            </w:tcMar>
          </w:tcPr>
          <w:p w14:paraId="43AEC7C4" w14:textId="77777777" w:rsidR="009D2FD2" w:rsidRDefault="00000000">
            <w:pPr>
              <w:pStyle w:val="Tablacelda"/>
            </w:pPr>
            <w:r>
              <w:t>Baa3</w:t>
            </w:r>
          </w:p>
        </w:tc>
        <w:tc>
          <w:tcPr>
            <w:tcW w:w="1500" w:type="dxa"/>
            <w:tcBorders>
              <w:top w:val="nil"/>
              <w:left w:val="nil"/>
              <w:bottom w:val="single" w:sz="8" w:space="0" w:color="000000"/>
              <w:right w:val="nil"/>
            </w:tcBorders>
            <w:tcMar>
              <w:top w:w="60" w:type="dxa"/>
              <w:left w:w="100" w:type="dxa"/>
              <w:bottom w:w="60" w:type="dxa"/>
              <w:right w:w="100" w:type="dxa"/>
            </w:tcMar>
          </w:tcPr>
          <w:p w14:paraId="233290DB" w14:textId="77777777" w:rsidR="009D2FD2" w:rsidRDefault="00000000">
            <w:pPr>
              <w:pStyle w:val="Tablacelda"/>
            </w:pPr>
            <w:r>
              <w:t>Estable</w:t>
            </w:r>
          </w:p>
        </w:tc>
        <w:tc>
          <w:tcPr>
            <w:tcW w:w="3960" w:type="dxa"/>
            <w:tcBorders>
              <w:top w:val="nil"/>
              <w:left w:val="nil"/>
              <w:bottom w:val="single" w:sz="8" w:space="0" w:color="000000"/>
              <w:right w:val="nil"/>
            </w:tcBorders>
            <w:tcMar>
              <w:top w:w="60" w:type="dxa"/>
              <w:left w:w="100" w:type="dxa"/>
              <w:bottom w:w="60" w:type="dxa"/>
              <w:right w:w="100" w:type="dxa"/>
            </w:tcMar>
          </w:tcPr>
          <w:p w14:paraId="65EBF58D" w14:textId="77777777" w:rsidR="009D2FD2" w:rsidRDefault="00000000">
            <w:pPr>
              <w:pStyle w:val="Tablacelda"/>
            </w:pPr>
            <w:r>
              <w:t>Rebaja desde Baa2 en junio de 2025 (</w:t>
            </w:r>
            <w:hyperlink r:id="rId26" w:history="1">
              <w:r w:rsidR="009D2FD2">
                <w:rPr>
                  <w:rStyle w:val="Hipervnculo"/>
                </w:rPr>
                <w:t>Portafolio, 2025</w:t>
              </w:r>
            </w:hyperlink>
            <w:r>
              <w:t>)</w:t>
            </w:r>
          </w:p>
        </w:tc>
      </w:tr>
    </w:tbl>
    <w:p w14:paraId="0A5CFA7E" w14:textId="77777777" w:rsidR="009D2FD2" w:rsidRDefault="009D2FD2">
      <w:pPr>
        <w:spacing w:after="60"/>
      </w:pPr>
    </w:p>
    <w:p w14:paraId="2C0264C7" w14:textId="77777777" w:rsidR="009D2FD2" w:rsidRDefault="00000000">
      <w:r>
        <w:t>Las tres calificadoras rebajaron a Colombia en el último año y medio, y S&amp;P advierte que podría hacerlo de nuevo en 6 a 18 meses si los déficits superan lo previsto o se debilita la credibilidad del banco central. A favor del peso esta que la prima de riesgo político bajó tras las elecciones (</w:t>
      </w:r>
      <w:hyperlink r:id="rId27" w:history="1">
        <w:r w:rsidR="009D2FD2">
          <w:rPr>
            <w:rStyle w:val="Hipervnculo"/>
          </w:rPr>
          <w:t>Valora Analitik, 2026</w:t>
        </w:r>
      </w:hyperlink>
      <w:r>
        <w:t xml:space="preserve">). </w:t>
      </w:r>
    </w:p>
    <w:p w14:paraId="72E0F830" w14:textId="77777777" w:rsidR="009D2FD2" w:rsidRDefault="00000000">
      <w:pPr>
        <w:pStyle w:val="TtuloAPAnivel2"/>
      </w:pPr>
      <w:r>
        <w:t>Condiciones fiscales y políticas</w:t>
      </w:r>
    </w:p>
    <w:p w14:paraId="3B9E37BC" w14:textId="77777777" w:rsidR="009D2FD2" w:rsidRDefault="00000000">
      <w:r>
        <w:t>El déficit fiscal es el principal riesgo para el peso. El Comité Autónomo de la Regla Fiscal lo proyecta en 7,2 % del PIB en 2026 y 9,4 % en 2027, y la regla fiscal permanece suspendida hasta 2027 (</w:t>
      </w:r>
      <w:hyperlink r:id="rId28" w:history="1">
        <w:r w:rsidR="009D2FD2">
          <w:rPr>
            <w:rStyle w:val="Hipervnculo"/>
          </w:rPr>
          <w:t>Infobae, 2026a</w:t>
        </w:r>
      </w:hyperlink>
      <w:r>
        <w:t>). Un déficit tan alto obliga al Gobierno a endeudarse más, y si los inversionistas dudan de que pueda corregirlo, exigen tasas más altas por los TES o retiran capital, lo que debilita al peso.</w:t>
      </w:r>
    </w:p>
    <w:p w14:paraId="3FCCE929" w14:textId="77777777" w:rsidR="009D2FD2" w:rsidRDefault="00000000">
      <w:r>
        <w:lastRenderedPageBreak/>
        <w:t>En la agenda del Gobierno, el presidente Abelardo De La Espriella insiste en recortar el gasto y busca apoyo del FMI. Según Infobae (2026a), el Congreso aprobó el presupuesto de 2027 por COP 634,9 billones, pendiente de sanción, y se espera la llamada “Ley de Rescate” en la segunda mitad de octubre (</w:t>
      </w:r>
      <w:hyperlink r:id="rId29" w:history="1">
        <w:r w:rsidR="009D2FD2">
          <w:rPr>
            <w:rStyle w:val="Hipervnculo"/>
          </w:rPr>
          <w:t>Global66, 2026</w:t>
        </w:r>
      </w:hyperlink>
      <w:r>
        <w:t>). Credicorp Capital pronostica que las presiones fiscales y las operaciones de monetización de divisas del Gobierno son una de las razones por las que espera un dólar más alto en 2027 (</w:t>
      </w:r>
      <w:hyperlink r:id="rId30" w:history="1">
        <w:r w:rsidR="009D2FD2">
          <w:rPr>
            <w:rStyle w:val="Hipervnculo"/>
          </w:rPr>
          <w:t>Portafolio, 2026a</w:t>
        </w:r>
      </w:hyperlink>
      <w:r>
        <w:t>). El Banco de la República, además, vigila tres factores locales: El Niño, la reconstrucción tras el terremoto del 10 de agosto y las medidas fiscales.</w:t>
      </w:r>
    </w:p>
    <w:p w14:paraId="331996C6" w14:textId="77777777" w:rsidR="009D2FD2" w:rsidRDefault="00000000">
      <w:pPr>
        <w:pStyle w:val="TtuloAPAnivel2"/>
      </w:pPr>
      <w:r>
        <w:t>Proyecciones de terceros</w:t>
      </w:r>
    </w:p>
    <w:p w14:paraId="77B9EB57" w14:textId="77777777" w:rsidR="009D2FD2" w:rsidRDefault="00000000">
      <w:r>
        <w:t>Las proyecciones publicadas ubican el dólar entre $3.150 y $3.460 al cierre de 2026 y, las que llegan a 2027, entre $3.428 y $3.600. En casi todos los casos el valor proyectado supera al nivel actual.</w:t>
      </w:r>
    </w:p>
    <w:p w14:paraId="32865866" w14:textId="77777777" w:rsidR="00D20524" w:rsidRDefault="00000000">
      <w:pPr>
        <w:pStyle w:val="Rtulotablaofigura"/>
      </w:pPr>
      <w:r>
        <w:rPr>
          <w:b/>
          <w:bCs/>
        </w:rPr>
        <w:t>Tabla 5</w:t>
      </w:r>
    </w:p>
    <w:p w14:paraId="66FA1B31" w14:textId="77777777" w:rsidR="00D20524" w:rsidRDefault="00000000">
      <w:pPr>
        <w:pStyle w:val="Ttulotablaofigura"/>
      </w:pPr>
      <w:r>
        <w:t>Proyecciones publicadas de la TRM</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700"/>
        <w:gridCol w:w="2100"/>
        <w:gridCol w:w="1700"/>
        <w:gridCol w:w="2860"/>
      </w:tblGrid>
      <w:tr w:rsidR="009D2FD2" w14:paraId="6CE612A2" w14:textId="77777777">
        <w:trPr>
          <w:tblHeader/>
        </w:trPr>
        <w:tc>
          <w:tcPr>
            <w:tcW w:w="2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3F21459" w14:textId="77777777" w:rsidR="009D2FD2" w:rsidRDefault="00000000">
            <w:pPr>
              <w:pStyle w:val="Tablacelda"/>
            </w:pPr>
            <w:r>
              <w:rPr>
                <w:b/>
                <w:bCs/>
              </w:rPr>
              <w:t>Entidad</w:t>
            </w:r>
          </w:p>
        </w:tc>
        <w:tc>
          <w:tcPr>
            <w:tcW w:w="2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903633D" w14:textId="77777777" w:rsidR="009D2FD2" w:rsidRDefault="00000000">
            <w:pPr>
              <w:pStyle w:val="Tablacelda"/>
            </w:pPr>
            <w:r>
              <w:rPr>
                <w:b/>
                <w:bCs/>
              </w:rPr>
              <w:t>Horizonte</w:t>
            </w:r>
          </w:p>
        </w:tc>
        <w:tc>
          <w:tcPr>
            <w:tcW w:w="1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202EAE3" w14:textId="77777777" w:rsidR="009D2FD2" w:rsidRDefault="00000000">
            <w:pPr>
              <w:pStyle w:val="Tablacelda"/>
            </w:pPr>
            <w:r>
              <w:rPr>
                <w:b/>
                <w:bCs/>
              </w:rPr>
              <w:t>TRM proyectada</w:t>
            </w:r>
          </w:p>
        </w:tc>
        <w:tc>
          <w:tcPr>
            <w:tcW w:w="28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4F9C422" w14:textId="77777777" w:rsidR="009D2FD2" w:rsidRDefault="00000000">
            <w:pPr>
              <w:pStyle w:val="Tablacelda"/>
            </w:pPr>
            <w:r>
              <w:rPr>
                <w:b/>
                <w:bCs/>
              </w:rPr>
              <w:t>Nota</w:t>
            </w:r>
          </w:p>
        </w:tc>
      </w:tr>
      <w:tr w:rsidR="009D2FD2" w14:paraId="4BD165FD" w14:textId="77777777">
        <w:tc>
          <w:tcPr>
            <w:tcW w:w="2700" w:type="dxa"/>
            <w:tcBorders>
              <w:top w:val="nil"/>
              <w:left w:val="nil"/>
              <w:bottom w:val="nil"/>
              <w:right w:val="nil"/>
            </w:tcBorders>
            <w:tcMar>
              <w:top w:w="60" w:type="dxa"/>
              <w:left w:w="100" w:type="dxa"/>
              <w:bottom w:w="60" w:type="dxa"/>
              <w:right w:w="100" w:type="dxa"/>
            </w:tcMar>
          </w:tcPr>
          <w:p w14:paraId="5165B93A" w14:textId="77777777" w:rsidR="009D2FD2" w:rsidRDefault="00000000">
            <w:pPr>
              <w:pStyle w:val="Tablacelda"/>
            </w:pPr>
            <w:r>
              <w:t>Credicorp Capital</w:t>
            </w:r>
          </w:p>
        </w:tc>
        <w:tc>
          <w:tcPr>
            <w:tcW w:w="2100" w:type="dxa"/>
            <w:tcBorders>
              <w:top w:val="nil"/>
              <w:left w:val="nil"/>
              <w:bottom w:val="nil"/>
              <w:right w:val="nil"/>
            </w:tcBorders>
            <w:tcMar>
              <w:top w:w="60" w:type="dxa"/>
              <w:left w:w="100" w:type="dxa"/>
              <w:bottom w:w="60" w:type="dxa"/>
              <w:right w:w="100" w:type="dxa"/>
            </w:tcMar>
          </w:tcPr>
          <w:p w14:paraId="467FC0F5" w14:textId="77777777" w:rsidR="009D2FD2" w:rsidRDefault="00000000">
            <w:pPr>
              <w:pStyle w:val="Tablacelda"/>
            </w:pPr>
            <w:r>
              <w:t>Cierre 2026 / cierre 2027</w:t>
            </w:r>
          </w:p>
        </w:tc>
        <w:tc>
          <w:tcPr>
            <w:tcW w:w="1700" w:type="dxa"/>
            <w:tcBorders>
              <w:top w:val="nil"/>
              <w:left w:val="nil"/>
              <w:bottom w:val="nil"/>
              <w:right w:val="nil"/>
            </w:tcBorders>
            <w:tcMar>
              <w:top w:w="60" w:type="dxa"/>
              <w:left w:w="100" w:type="dxa"/>
              <w:bottom w:w="60" w:type="dxa"/>
              <w:right w:w="100" w:type="dxa"/>
            </w:tcMar>
          </w:tcPr>
          <w:p w14:paraId="2E1A5D82" w14:textId="77777777" w:rsidR="009D2FD2" w:rsidRDefault="00000000">
            <w:pPr>
              <w:pStyle w:val="Tablacelda"/>
            </w:pPr>
            <w:r>
              <w:t>$3.250 / $3.600</w:t>
            </w:r>
          </w:p>
        </w:tc>
        <w:tc>
          <w:tcPr>
            <w:tcW w:w="2860" w:type="dxa"/>
            <w:tcBorders>
              <w:top w:val="nil"/>
              <w:left w:val="nil"/>
              <w:bottom w:val="nil"/>
              <w:right w:val="nil"/>
            </w:tcBorders>
            <w:tcMar>
              <w:top w:w="60" w:type="dxa"/>
              <w:left w:w="100" w:type="dxa"/>
              <w:bottom w:w="60" w:type="dxa"/>
              <w:right w:w="100" w:type="dxa"/>
            </w:tcMar>
          </w:tcPr>
          <w:p w14:paraId="44820A49" w14:textId="77777777" w:rsidR="009D2FD2" w:rsidRDefault="00000000">
            <w:pPr>
              <w:pStyle w:val="Tablacelda"/>
            </w:pPr>
            <w:r>
              <w:t>El peso estaría sobrevalorado según sus modelos de valor justo</w:t>
            </w:r>
          </w:p>
        </w:tc>
      </w:tr>
      <w:tr w:rsidR="009D2FD2" w14:paraId="5264AAAB" w14:textId="77777777">
        <w:tc>
          <w:tcPr>
            <w:tcW w:w="2700" w:type="dxa"/>
            <w:tcBorders>
              <w:top w:val="nil"/>
              <w:left w:val="nil"/>
              <w:bottom w:val="nil"/>
              <w:right w:val="nil"/>
            </w:tcBorders>
            <w:tcMar>
              <w:top w:w="60" w:type="dxa"/>
              <w:left w:w="100" w:type="dxa"/>
              <w:bottom w:w="60" w:type="dxa"/>
              <w:right w:w="100" w:type="dxa"/>
            </w:tcMar>
          </w:tcPr>
          <w:p w14:paraId="3B428216" w14:textId="77777777" w:rsidR="009D2FD2" w:rsidRDefault="00000000">
            <w:pPr>
              <w:pStyle w:val="Tablacelda"/>
            </w:pPr>
            <w:r>
              <w:t>LatinFocus (consenso)</w:t>
            </w:r>
          </w:p>
        </w:tc>
        <w:tc>
          <w:tcPr>
            <w:tcW w:w="2100" w:type="dxa"/>
            <w:tcBorders>
              <w:top w:val="nil"/>
              <w:left w:val="nil"/>
              <w:bottom w:val="nil"/>
              <w:right w:val="nil"/>
            </w:tcBorders>
            <w:tcMar>
              <w:top w:w="60" w:type="dxa"/>
              <w:left w:w="100" w:type="dxa"/>
              <w:bottom w:w="60" w:type="dxa"/>
              <w:right w:w="100" w:type="dxa"/>
            </w:tcMar>
          </w:tcPr>
          <w:p w14:paraId="01856468" w14:textId="77777777" w:rsidR="009D2FD2" w:rsidRDefault="00000000">
            <w:pPr>
              <w:pStyle w:val="Tablacelda"/>
            </w:pPr>
            <w:r>
              <w:t>Cierre 2027</w:t>
            </w:r>
          </w:p>
        </w:tc>
        <w:tc>
          <w:tcPr>
            <w:tcW w:w="1700" w:type="dxa"/>
            <w:tcBorders>
              <w:top w:val="nil"/>
              <w:left w:val="nil"/>
              <w:bottom w:val="nil"/>
              <w:right w:val="nil"/>
            </w:tcBorders>
            <w:tcMar>
              <w:top w:w="60" w:type="dxa"/>
              <w:left w:w="100" w:type="dxa"/>
              <w:bottom w:w="60" w:type="dxa"/>
              <w:right w:w="100" w:type="dxa"/>
            </w:tcMar>
          </w:tcPr>
          <w:p w14:paraId="75699829" w14:textId="77777777" w:rsidR="009D2FD2" w:rsidRDefault="00000000">
            <w:pPr>
              <w:pStyle w:val="Tablacelda"/>
            </w:pPr>
            <w:r>
              <w:t>$3.428</w:t>
            </w:r>
          </w:p>
        </w:tc>
        <w:tc>
          <w:tcPr>
            <w:tcW w:w="2860" w:type="dxa"/>
            <w:tcBorders>
              <w:top w:val="nil"/>
              <w:left w:val="nil"/>
              <w:bottom w:val="nil"/>
              <w:right w:val="nil"/>
            </w:tcBorders>
            <w:tcMar>
              <w:top w:w="60" w:type="dxa"/>
              <w:left w:w="100" w:type="dxa"/>
              <w:bottom w:w="60" w:type="dxa"/>
              <w:right w:w="100" w:type="dxa"/>
            </w:tcMar>
          </w:tcPr>
          <w:p w14:paraId="6EFF4771" w14:textId="77777777" w:rsidR="009D2FD2" w:rsidRDefault="00000000">
            <w:pPr>
              <w:pStyle w:val="Tablacelda"/>
            </w:pPr>
            <w:r>
              <w:t>Citado por Portafolio (2026a)</w:t>
            </w:r>
          </w:p>
        </w:tc>
      </w:tr>
      <w:tr w:rsidR="009D2FD2" w14:paraId="46A96DF1" w14:textId="77777777">
        <w:tc>
          <w:tcPr>
            <w:tcW w:w="2700" w:type="dxa"/>
            <w:tcBorders>
              <w:top w:val="nil"/>
              <w:left w:val="nil"/>
              <w:bottom w:val="nil"/>
              <w:right w:val="nil"/>
            </w:tcBorders>
            <w:tcMar>
              <w:top w:w="60" w:type="dxa"/>
              <w:left w:w="100" w:type="dxa"/>
              <w:bottom w:w="60" w:type="dxa"/>
              <w:right w:w="100" w:type="dxa"/>
            </w:tcMar>
          </w:tcPr>
          <w:p w14:paraId="7AF43C42" w14:textId="77777777" w:rsidR="009D2FD2" w:rsidRDefault="00000000">
            <w:pPr>
              <w:pStyle w:val="Tablacelda"/>
            </w:pPr>
            <w:r>
              <w:t>Encuesta del Banco de la República</w:t>
            </w:r>
          </w:p>
        </w:tc>
        <w:tc>
          <w:tcPr>
            <w:tcW w:w="2100" w:type="dxa"/>
            <w:tcBorders>
              <w:top w:val="nil"/>
              <w:left w:val="nil"/>
              <w:bottom w:val="nil"/>
              <w:right w:val="nil"/>
            </w:tcBorders>
            <w:tcMar>
              <w:top w:w="60" w:type="dxa"/>
              <w:left w:w="100" w:type="dxa"/>
              <w:bottom w:w="60" w:type="dxa"/>
              <w:right w:w="100" w:type="dxa"/>
            </w:tcMar>
          </w:tcPr>
          <w:p w14:paraId="06B89D87" w14:textId="77777777" w:rsidR="009D2FD2" w:rsidRDefault="00000000">
            <w:pPr>
              <w:pStyle w:val="Tablacelda"/>
            </w:pPr>
            <w:r>
              <w:t>Cierre 2027</w:t>
            </w:r>
          </w:p>
        </w:tc>
        <w:tc>
          <w:tcPr>
            <w:tcW w:w="1700" w:type="dxa"/>
            <w:tcBorders>
              <w:top w:val="nil"/>
              <w:left w:val="nil"/>
              <w:bottom w:val="nil"/>
              <w:right w:val="nil"/>
            </w:tcBorders>
            <w:tcMar>
              <w:top w:w="60" w:type="dxa"/>
              <w:left w:w="100" w:type="dxa"/>
              <w:bottom w:w="60" w:type="dxa"/>
              <w:right w:w="100" w:type="dxa"/>
            </w:tcMar>
          </w:tcPr>
          <w:p w14:paraId="737FE6BB" w14:textId="77777777" w:rsidR="009D2FD2" w:rsidRDefault="00000000">
            <w:pPr>
              <w:pStyle w:val="Tablacelda"/>
            </w:pPr>
            <w:r>
              <w:t>$3.428</w:t>
            </w:r>
          </w:p>
        </w:tc>
        <w:tc>
          <w:tcPr>
            <w:tcW w:w="2860" w:type="dxa"/>
            <w:tcBorders>
              <w:top w:val="nil"/>
              <w:left w:val="nil"/>
              <w:bottom w:val="nil"/>
              <w:right w:val="nil"/>
            </w:tcBorders>
            <w:tcMar>
              <w:top w:w="60" w:type="dxa"/>
              <w:left w:w="100" w:type="dxa"/>
              <w:bottom w:w="60" w:type="dxa"/>
              <w:right w:w="100" w:type="dxa"/>
            </w:tcMar>
          </w:tcPr>
          <w:p w14:paraId="0CC397F6" w14:textId="77777777" w:rsidR="009D2FD2" w:rsidRDefault="00000000">
            <w:pPr>
              <w:pStyle w:val="Tablacelda"/>
            </w:pPr>
            <w:r>
              <w:t>Citado por Portafolio (2026a)</w:t>
            </w:r>
          </w:p>
        </w:tc>
      </w:tr>
      <w:tr w:rsidR="009D2FD2" w14:paraId="31AD273F" w14:textId="77777777">
        <w:tc>
          <w:tcPr>
            <w:tcW w:w="2700" w:type="dxa"/>
            <w:tcBorders>
              <w:top w:val="nil"/>
              <w:left w:val="nil"/>
              <w:bottom w:val="nil"/>
              <w:right w:val="nil"/>
            </w:tcBorders>
            <w:tcMar>
              <w:top w:w="60" w:type="dxa"/>
              <w:left w:w="100" w:type="dxa"/>
              <w:bottom w:w="60" w:type="dxa"/>
              <w:right w:w="100" w:type="dxa"/>
            </w:tcMar>
          </w:tcPr>
          <w:p w14:paraId="6CEB8B84" w14:textId="77777777" w:rsidR="009D2FD2" w:rsidRDefault="00000000">
            <w:pPr>
              <w:pStyle w:val="Tablacelda"/>
            </w:pPr>
            <w:r>
              <w:t>BTG Pactual</w:t>
            </w:r>
          </w:p>
        </w:tc>
        <w:tc>
          <w:tcPr>
            <w:tcW w:w="2100" w:type="dxa"/>
            <w:tcBorders>
              <w:top w:val="nil"/>
              <w:left w:val="nil"/>
              <w:bottom w:val="nil"/>
              <w:right w:val="nil"/>
            </w:tcBorders>
            <w:tcMar>
              <w:top w:w="60" w:type="dxa"/>
              <w:left w:w="100" w:type="dxa"/>
              <w:bottom w:w="60" w:type="dxa"/>
              <w:right w:w="100" w:type="dxa"/>
            </w:tcMar>
          </w:tcPr>
          <w:p w14:paraId="23544669" w14:textId="77777777" w:rsidR="009D2FD2" w:rsidRDefault="00000000">
            <w:pPr>
              <w:pStyle w:val="Tablacelda"/>
            </w:pPr>
            <w:r>
              <w:t>Cierre 2026</w:t>
            </w:r>
          </w:p>
        </w:tc>
        <w:tc>
          <w:tcPr>
            <w:tcW w:w="1700" w:type="dxa"/>
            <w:tcBorders>
              <w:top w:val="nil"/>
              <w:left w:val="nil"/>
              <w:bottom w:val="nil"/>
              <w:right w:val="nil"/>
            </w:tcBorders>
            <w:tcMar>
              <w:top w:w="60" w:type="dxa"/>
              <w:left w:w="100" w:type="dxa"/>
              <w:bottom w:w="60" w:type="dxa"/>
              <w:right w:w="100" w:type="dxa"/>
            </w:tcMar>
          </w:tcPr>
          <w:p w14:paraId="731DDC92" w14:textId="77777777" w:rsidR="009D2FD2" w:rsidRDefault="00000000">
            <w:pPr>
              <w:pStyle w:val="Tablacelda"/>
            </w:pPr>
            <w:r>
              <w:t>$3.460</w:t>
            </w:r>
          </w:p>
        </w:tc>
        <w:tc>
          <w:tcPr>
            <w:tcW w:w="2860" w:type="dxa"/>
            <w:tcBorders>
              <w:top w:val="nil"/>
              <w:left w:val="nil"/>
              <w:bottom w:val="nil"/>
              <w:right w:val="nil"/>
            </w:tcBorders>
            <w:tcMar>
              <w:top w:w="60" w:type="dxa"/>
              <w:left w:w="100" w:type="dxa"/>
              <w:bottom w:w="60" w:type="dxa"/>
              <w:right w:w="100" w:type="dxa"/>
            </w:tcMar>
          </w:tcPr>
          <w:p w14:paraId="5BA3B03E" w14:textId="77777777" w:rsidR="009D2FD2" w:rsidRDefault="00000000">
            <w:pPr>
              <w:pStyle w:val="Tablacelda"/>
            </w:pPr>
            <w:r>
              <w:t>Espera volatilidad y una corrección alcista suave hacia 2027</w:t>
            </w:r>
          </w:p>
        </w:tc>
      </w:tr>
      <w:tr w:rsidR="009D2FD2" w14:paraId="2E6BF787" w14:textId="77777777">
        <w:tc>
          <w:tcPr>
            <w:tcW w:w="2700" w:type="dxa"/>
            <w:tcBorders>
              <w:top w:val="nil"/>
              <w:left w:val="nil"/>
              <w:bottom w:val="nil"/>
              <w:right w:val="nil"/>
            </w:tcBorders>
            <w:tcMar>
              <w:top w:w="60" w:type="dxa"/>
              <w:left w:w="100" w:type="dxa"/>
              <w:bottom w:w="60" w:type="dxa"/>
              <w:right w:w="100" w:type="dxa"/>
            </w:tcMar>
          </w:tcPr>
          <w:p w14:paraId="5AC764DE" w14:textId="77777777" w:rsidR="009D2FD2" w:rsidRDefault="00000000">
            <w:pPr>
              <w:pStyle w:val="Tablacelda"/>
            </w:pPr>
            <w:r>
              <w:t>Bancolombia</w:t>
            </w:r>
          </w:p>
        </w:tc>
        <w:tc>
          <w:tcPr>
            <w:tcW w:w="2100" w:type="dxa"/>
            <w:tcBorders>
              <w:top w:val="nil"/>
              <w:left w:val="nil"/>
              <w:bottom w:val="nil"/>
              <w:right w:val="nil"/>
            </w:tcBorders>
            <w:tcMar>
              <w:top w:w="60" w:type="dxa"/>
              <w:left w:w="100" w:type="dxa"/>
              <w:bottom w:w="60" w:type="dxa"/>
              <w:right w:w="100" w:type="dxa"/>
            </w:tcMar>
          </w:tcPr>
          <w:p w14:paraId="2E756F58" w14:textId="77777777" w:rsidR="009D2FD2" w:rsidRDefault="00000000">
            <w:pPr>
              <w:pStyle w:val="Tablacelda"/>
            </w:pPr>
            <w:r>
              <w:t>Promedio 2026</w:t>
            </w:r>
          </w:p>
        </w:tc>
        <w:tc>
          <w:tcPr>
            <w:tcW w:w="1700" w:type="dxa"/>
            <w:tcBorders>
              <w:top w:val="nil"/>
              <w:left w:val="nil"/>
              <w:bottom w:val="nil"/>
              <w:right w:val="nil"/>
            </w:tcBorders>
            <w:tcMar>
              <w:top w:w="60" w:type="dxa"/>
              <w:left w:w="100" w:type="dxa"/>
              <w:bottom w:w="60" w:type="dxa"/>
              <w:right w:w="100" w:type="dxa"/>
            </w:tcMar>
          </w:tcPr>
          <w:p w14:paraId="6A3D3C83" w14:textId="77777777" w:rsidR="009D2FD2" w:rsidRDefault="00000000">
            <w:pPr>
              <w:pStyle w:val="Tablacelda"/>
            </w:pPr>
            <w:r>
              <w:t>$3.420</w:t>
            </w:r>
          </w:p>
        </w:tc>
        <w:tc>
          <w:tcPr>
            <w:tcW w:w="2860" w:type="dxa"/>
            <w:tcBorders>
              <w:top w:val="nil"/>
              <w:left w:val="nil"/>
              <w:bottom w:val="nil"/>
              <w:right w:val="nil"/>
            </w:tcBorders>
            <w:tcMar>
              <w:top w:w="60" w:type="dxa"/>
              <w:left w:w="100" w:type="dxa"/>
              <w:bottom w:w="60" w:type="dxa"/>
              <w:right w:w="100" w:type="dxa"/>
            </w:tcMar>
          </w:tcPr>
          <w:p w14:paraId="4A475A9C" w14:textId="77777777" w:rsidR="009D2FD2" w:rsidRDefault="00000000">
            <w:pPr>
              <w:pStyle w:val="Tablacelda"/>
            </w:pPr>
            <w:r>
              <w:t>«Tasa justa» cercana a $3.600</w:t>
            </w:r>
          </w:p>
        </w:tc>
      </w:tr>
      <w:tr w:rsidR="009D2FD2" w14:paraId="2FB88988" w14:textId="77777777">
        <w:tc>
          <w:tcPr>
            <w:tcW w:w="2700" w:type="dxa"/>
            <w:tcBorders>
              <w:top w:val="nil"/>
              <w:left w:val="nil"/>
              <w:bottom w:val="nil"/>
              <w:right w:val="nil"/>
            </w:tcBorders>
            <w:tcMar>
              <w:top w:w="60" w:type="dxa"/>
              <w:left w:w="100" w:type="dxa"/>
              <w:bottom w:w="60" w:type="dxa"/>
              <w:right w:w="100" w:type="dxa"/>
            </w:tcMar>
          </w:tcPr>
          <w:p w14:paraId="7F03BC3F" w14:textId="77777777" w:rsidR="009D2FD2" w:rsidRDefault="00000000">
            <w:pPr>
              <w:pStyle w:val="Tablacelda"/>
            </w:pPr>
            <w:r>
              <w:t>Encuesta del Banco de la República</w:t>
            </w:r>
          </w:p>
        </w:tc>
        <w:tc>
          <w:tcPr>
            <w:tcW w:w="2100" w:type="dxa"/>
            <w:tcBorders>
              <w:top w:val="nil"/>
              <w:left w:val="nil"/>
              <w:bottom w:val="nil"/>
              <w:right w:val="nil"/>
            </w:tcBorders>
            <w:tcMar>
              <w:top w:w="60" w:type="dxa"/>
              <w:left w:w="100" w:type="dxa"/>
              <w:bottom w:w="60" w:type="dxa"/>
              <w:right w:w="100" w:type="dxa"/>
            </w:tcMar>
          </w:tcPr>
          <w:p w14:paraId="4D59C4A8" w14:textId="77777777" w:rsidR="009D2FD2" w:rsidRDefault="00000000">
            <w:pPr>
              <w:pStyle w:val="Tablacelda"/>
            </w:pPr>
            <w:r>
              <w:t>Promedio de diciembre 2026</w:t>
            </w:r>
          </w:p>
        </w:tc>
        <w:tc>
          <w:tcPr>
            <w:tcW w:w="1700" w:type="dxa"/>
            <w:tcBorders>
              <w:top w:val="nil"/>
              <w:left w:val="nil"/>
              <w:bottom w:val="nil"/>
              <w:right w:val="nil"/>
            </w:tcBorders>
            <w:tcMar>
              <w:top w:w="60" w:type="dxa"/>
              <w:left w:w="100" w:type="dxa"/>
              <w:bottom w:w="60" w:type="dxa"/>
              <w:right w:w="100" w:type="dxa"/>
            </w:tcMar>
          </w:tcPr>
          <w:p w14:paraId="07DA3FF8" w14:textId="77777777" w:rsidR="009D2FD2" w:rsidRDefault="00000000">
            <w:pPr>
              <w:pStyle w:val="Tablacelda"/>
            </w:pPr>
            <w:r>
              <w:t>$3.300</w:t>
            </w:r>
          </w:p>
        </w:tc>
        <w:tc>
          <w:tcPr>
            <w:tcW w:w="2860" w:type="dxa"/>
            <w:tcBorders>
              <w:top w:val="nil"/>
              <w:left w:val="nil"/>
              <w:bottom w:val="nil"/>
              <w:right w:val="nil"/>
            </w:tcBorders>
            <w:tcMar>
              <w:top w:w="60" w:type="dxa"/>
              <w:left w:w="100" w:type="dxa"/>
              <w:bottom w:w="60" w:type="dxa"/>
              <w:right w:w="100" w:type="dxa"/>
            </w:tcMar>
          </w:tcPr>
          <w:p w14:paraId="5AD4C5E3" w14:textId="77777777" w:rsidR="009D2FD2" w:rsidRDefault="00000000">
            <w:pPr>
              <w:pStyle w:val="Tablacelda"/>
            </w:pPr>
            <w:r>
              <w:t>Subió desde $3.200 el mes anterior</w:t>
            </w:r>
          </w:p>
        </w:tc>
      </w:tr>
      <w:tr w:rsidR="009D2FD2" w14:paraId="6DABC178" w14:textId="77777777">
        <w:tc>
          <w:tcPr>
            <w:tcW w:w="2700" w:type="dxa"/>
            <w:tcBorders>
              <w:top w:val="nil"/>
              <w:left w:val="nil"/>
              <w:bottom w:val="nil"/>
              <w:right w:val="nil"/>
            </w:tcBorders>
            <w:tcMar>
              <w:top w:w="60" w:type="dxa"/>
              <w:left w:w="100" w:type="dxa"/>
              <w:bottom w:w="60" w:type="dxa"/>
              <w:right w:w="100" w:type="dxa"/>
            </w:tcMar>
          </w:tcPr>
          <w:p w14:paraId="5580E7BE" w14:textId="77777777" w:rsidR="009D2FD2" w:rsidRDefault="00000000">
            <w:pPr>
              <w:pStyle w:val="Tablacelda"/>
            </w:pPr>
            <w:r>
              <w:t>BBVA Research</w:t>
            </w:r>
          </w:p>
        </w:tc>
        <w:tc>
          <w:tcPr>
            <w:tcW w:w="2100" w:type="dxa"/>
            <w:tcBorders>
              <w:top w:val="nil"/>
              <w:left w:val="nil"/>
              <w:bottom w:val="nil"/>
              <w:right w:val="nil"/>
            </w:tcBorders>
            <w:tcMar>
              <w:top w:w="60" w:type="dxa"/>
              <w:left w:w="100" w:type="dxa"/>
              <w:bottom w:w="60" w:type="dxa"/>
              <w:right w:w="100" w:type="dxa"/>
            </w:tcMar>
          </w:tcPr>
          <w:p w14:paraId="4D474CD9" w14:textId="77777777" w:rsidR="009D2FD2" w:rsidRDefault="00000000">
            <w:pPr>
              <w:pStyle w:val="Tablacelda"/>
            </w:pPr>
            <w:r>
              <w:t>Cierre 2026</w:t>
            </w:r>
          </w:p>
        </w:tc>
        <w:tc>
          <w:tcPr>
            <w:tcW w:w="1700" w:type="dxa"/>
            <w:tcBorders>
              <w:top w:val="nil"/>
              <w:left w:val="nil"/>
              <w:bottom w:val="nil"/>
              <w:right w:val="nil"/>
            </w:tcBorders>
            <w:tcMar>
              <w:top w:w="60" w:type="dxa"/>
              <w:left w:w="100" w:type="dxa"/>
              <w:bottom w:w="60" w:type="dxa"/>
              <w:right w:w="100" w:type="dxa"/>
            </w:tcMar>
          </w:tcPr>
          <w:p w14:paraId="435BFF18" w14:textId="77777777" w:rsidR="009D2FD2" w:rsidRDefault="00000000">
            <w:pPr>
              <w:pStyle w:val="Tablacelda"/>
            </w:pPr>
            <w:r>
              <w:t>$3.265</w:t>
            </w:r>
          </w:p>
        </w:tc>
        <w:tc>
          <w:tcPr>
            <w:tcW w:w="2860" w:type="dxa"/>
            <w:tcBorders>
              <w:top w:val="nil"/>
              <w:left w:val="nil"/>
              <w:bottom w:val="nil"/>
              <w:right w:val="nil"/>
            </w:tcBorders>
            <w:tcMar>
              <w:top w:w="60" w:type="dxa"/>
              <w:left w:w="100" w:type="dxa"/>
              <w:bottom w:w="60" w:type="dxa"/>
              <w:right w:w="100" w:type="dxa"/>
            </w:tcMar>
          </w:tcPr>
          <w:p w14:paraId="3B560287" w14:textId="77777777" w:rsidR="009D2FD2" w:rsidRDefault="00000000">
            <w:pPr>
              <w:pStyle w:val="Tablacelda"/>
            </w:pPr>
            <w:r>
              <w:t>Anticipa una corrección alcista suave hacia 2027</w:t>
            </w:r>
          </w:p>
        </w:tc>
      </w:tr>
      <w:tr w:rsidR="009D2FD2" w14:paraId="630945F1" w14:textId="77777777">
        <w:tc>
          <w:tcPr>
            <w:tcW w:w="2700" w:type="dxa"/>
            <w:tcBorders>
              <w:top w:val="nil"/>
              <w:left w:val="nil"/>
              <w:bottom w:val="nil"/>
              <w:right w:val="nil"/>
            </w:tcBorders>
            <w:tcMar>
              <w:top w:w="60" w:type="dxa"/>
              <w:left w:w="100" w:type="dxa"/>
              <w:bottom w:w="60" w:type="dxa"/>
              <w:right w:w="100" w:type="dxa"/>
            </w:tcMar>
          </w:tcPr>
          <w:p w14:paraId="7129FCEC" w14:textId="77777777" w:rsidR="009D2FD2" w:rsidRDefault="00000000">
            <w:pPr>
              <w:pStyle w:val="Tablacelda"/>
            </w:pPr>
            <w:r>
              <w:t>Fedesarrollo y BVC</w:t>
            </w:r>
          </w:p>
        </w:tc>
        <w:tc>
          <w:tcPr>
            <w:tcW w:w="2100" w:type="dxa"/>
            <w:tcBorders>
              <w:top w:val="nil"/>
              <w:left w:val="nil"/>
              <w:bottom w:val="nil"/>
              <w:right w:val="nil"/>
            </w:tcBorders>
            <w:tcMar>
              <w:top w:w="60" w:type="dxa"/>
              <w:left w:w="100" w:type="dxa"/>
              <w:bottom w:w="60" w:type="dxa"/>
              <w:right w:w="100" w:type="dxa"/>
            </w:tcMar>
          </w:tcPr>
          <w:p w14:paraId="72D8CBF6" w14:textId="77777777" w:rsidR="009D2FD2" w:rsidRDefault="00000000">
            <w:pPr>
              <w:pStyle w:val="Tablacelda"/>
            </w:pPr>
            <w:r>
              <w:t>Promedio de diciembre 2026</w:t>
            </w:r>
          </w:p>
        </w:tc>
        <w:tc>
          <w:tcPr>
            <w:tcW w:w="1700" w:type="dxa"/>
            <w:tcBorders>
              <w:top w:val="nil"/>
              <w:left w:val="nil"/>
              <w:bottom w:val="nil"/>
              <w:right w:val="nil"/>
            </w:tcBorders>
            <w:tcMar>
              <w:top w:w="60" w:type="dxa"/>
              <w:left w:w="100" w:type="dxa"/>
              <w:bottom w:w="60" w:type="dxa"/>
              <w:right w:w="100" w:type="dxa"/>
            </w:tcMar>
          </w:tcPr>
          <w:p w14:paraId="0215A1AB" w14:textId="77777777" w:rsidR="009D2FD2" w:rsidRDefault="00000000">
            <w:pPr>
              <w:pStyle w:val="Tablacelda"/>
            </w:pPr>
            <w:r>
              <w:t>$3.240</w:t>
            </w:r>
          </w:p>
        </w:tc>
        <w:tc>
          <w:tcPr>
            <w:tcW w:w="2860" w:type="dxa"/>
            <w:tcBorders>
              <w:top w:val="nil"/>
              <w:left w:val="nil"/>
              <w:bottom w:val="nil"/>
              <w:right w:val="nil"/>
            </w:tcBorders>
            <w:tcMar>
              <w:top w:w="60" w:type="dxa"/>
              <w:left w:w="100" w:type="dxa"/>
              <w:bottom w:w="60" w:type="dxa"/>
              <w:right w:w="100" w:type="dxa"/>
            </w:tcMar>
          </w:tcPr>
          <w:p w14:paraId="12E7D5FF" w14:textId="77777777" w:rsidR="009D2FD2" w:rsidRDefault="00000000">
            <w:pPr>
              <w:pStyle w:val="Tablacelda"/>
            </w:pPr>
            <w:r>
              <w:t>Bajó desde $3.300</w:t>
            </w:r>
          </w:p>
        </w:tc>
      </w:tr>
      <w:tr w:rsidR="009D2FD2" w14:paraId="286E727B" w14:textId="77777777">
        <w:tc>
          <w:tcPr>
            <w:tcW w:w="2700" w:type="dxa"/>
            <w:tcBorders>
              <w:top w:val="nil"/>
              <w:left w:val="nil"/>
              <w:bottom w:val="single" w:sz="8" w:space="0" w:color="000000"/>
              <w:right w:val="nil"/>
            </w:tcBorders>
            <w:tcMar>
              <w:top w:w="60" w:type="dxa"/>
              <w:left w:w="100" w:type="dxa"/>
              <w:bottom w:w="60" w:type="dxa"/>
              <w:right w:w="100" w:type="dxa"/>
            </w:tcMar>
          </w:tcPr>
          <w:p w14:paraId="75CD2921" w14:textId="77777777" w:rsidR="009D2FD2" w:rsidRDefault="00000000">
            <w:pPr>
              <w:pStyle w:val="Tablacelda"/>
            </w:pPr>
            <w:r>
              <w:lastRenderedPageBreak/>
              <w:t>Bank of America y Banco de Occidente</w:t>
            </w:r>
          </w:p>
        </w:tc>
        <w:tc>
          <w:tcPr>
            <w:tcW w:w="2100" w:type="dxa"/>
            <w:tcBorders>
              <w:top w:val="nil"/>
              <w:left w:val="nil"/>
              <w:bottom w:val="single" w:sz="8" w:space="0" w:color="000000"/>
              <w:right w:val="nil"/>
            </w:tcBorders>
            <w:tcMar>
              <w:top w:w="60" w:type="dxa"/>
              <w:left w:w="100" w:type="dxa"/>
              <w:bottom w:w="60" w:type="dxa"/>
              <w:right w:w="100" w:type="dxa"/>
            </w:tcMar>
          </w:tcPr>
          <w:p w14:paraId="5AAFDD7C" w14:textId="77777777" w:rsidR="009D2FD2" w:rsidRDefault="00000000">
            <w:pPr>
              <w:pStyle w:val="Tablacelda"/>
            </w:pPr>
            <w:r>
              <w:t>Cierre 2026</w:t>
            </w:r>
          </w:p>
        </w:tc>
        <w:tc>
          <w:tcPr>
            <w:tcW w:w="1700" w:type="dxa"/>
            <w:tcBorders>
              <w:top w:val="nil"/>
              <w:left w:val="nil"/>
              <w:bottom w:val="single" w:sz="8" w:space="0" w:color="000000"/>
              <w:right w:val="nil"/>
            </w:tcBorders>
            <w:tcMar>
              <w:top w:w="60" w:type="dxa"/>
              <w:left w:w="100" w:type="dxa"/>
              <w:bottom w:w="60" w:type="dxa"/>
              <w:right w:w="100" w:type="dxa"/>
            </w:tcMar>
          </w:tcPr>
          <w:p w14:paraId="27D0B9B0" w14:textId="77777777" w:rsidR="009D2FD2" w:rsidRDefault="00000000">
            <w:pPr>
              <w:pStyle w:val="Tablacelda"/>
            </w:pPr>
            <w:r>
              <w:t>≈ $3.150</w:t>
            </w:r>
          </w:p>
        </w:tc>
        <w:tc>
          <w:tcPr>
            <w:tcW w:w="2860" w:type="dxa"/>
            <w:tcBorders>
              <w:top w:val="nil"/>
              <w:left w:val="nil"/>
              <w:bottom w:val="single" w:sz="8" w:space="0" w:color="000000"/>
              <w:right w:val="nil"/>
            </w:tcBorders>
            <w:tcMar>
              <w:top w:w="60" w:type="dxa"/>
              <w:left w:w="100" w:type="dxa"/>
              <w:bottom w:w="60" w:type="dxa"/>
              <w:right w:w="100" w:type="dxa"/>
            </w:tcMar>
          </w:tcPr>
          <w:p w14:paraId="0D704E09" w14:textId="77777777" w:rsidR="009D2FD2" w:rsidRDefault="00000000">
            <w:pPr>
              <w:pStyle w:val="Tablacelda"/>
            </w:pPr>
            <w:r>
              <w:t>Las más favorables para el peso</w:t>
            </w:r>
          </w:p>
        </w:tc>
      </w:tr>
    </w:tbl>
    <w:p w14:paraId="302AAFE7" w14:textId="77777777" w:rsidR="009D2FD2" w:rsidRDefault="00000000">
      <w:pPr>
        <w:pStyle w:val="Nota"/>
      </w:pPr>
      <w:r>
        <w:rPr>
          <w:i/>
          <w:iCs/>
        </w:rPr>
        <w:t xml:space="preserve">Nota. </w:t>
      </w:r>
      <w:r>
        <w:t xml:space="preserve">Fuentes: </w:t>
      </w:r>
      <w:hyperlink r:id="rId31" w:history="1">
        <w:r w:rsidR="009D2FD2">
          <w:rPr>
            <w:rStyle w:val="Hipervnculo"/>
          </w:rPr>
          <w:t>Portafolio (2026a)</w:t>
        </w:r>
      </w:hyperlink>
      <w:r>
        <w:t xml:space="preserve">, </w:t>
      </w:r>
      <w:hyperlink r:id="rId32" w:history="1">
        <w:r w:rsidR="009D2FD2">
          <w:rPr>
            <w:rStyle w:val="Hipervnculo"/>
          </w:rPr>
          <w:t>Valora Analitik (2026)</w:t>
        </w:r>
      </w:hyperlink>
      <w:r>
        <w:t xml:space="preserve"> y </w:t>
      </w:r>
      <w:hyperlink r:id="rId33" w:history="1">
        <w:r w:rsidR="009D2FD2">
          <w:rPr>
            <w:rStyle w:val="Hipervnculo"/>
          </w:rPr>
          <w:t>Diario del Huila (2026)</w:t>
        </w:r>
      </w:hyperlink>
      <w:r>
        <w:t xml:space="preserve">. </w:t>
      </w:r>
    </w:p>
    <w:p w14:paraId="70AAF4E0" w14:textId="77777777" w:rsidR="009D2FD2" w:rsidRDefault="00000000">
      <w:pPr>
        <w:pStyle w:val="TtuloAPAnivel2"/>
      </w:pPr>
      <w:r>
        <w:t>Escenarios a doce meses</w:t>
      </w:r>
    </w:p>
    <w:p w14:paraId="69812BE9" w14:textId="77777777" w:rsidR="009D2FD2" w:rsidRDefault="00000000">
      <w:r>
        <w:t xml:space="preserve">Con base en lo anterior se construyen tres escenarios. </w:t>
      </w:r>
    </w:p>
    <w:p w14:paraId="1B7E7146" w14:textId="77777777" w:rsidR="00D20524" w:rsidRDefault="00000000">
      <w:pPr>
        <w:pStyle w:val="Rtulotablaofigura"/>
      </w:pPr>
      <w:r>
        <w:rPr>
          <w:b/>
          <w:bCs/>
        </w:rPr>
        <w:t>Tabla 6</w:t>
      </w:r>
    </w:p>
    <w:p w14:paraId="5CCC45EC" w14:textId="77777777" w:rsidR="00D20524" w:rsidRDefault="00000000">
      <w:pPr>
        <w:pStyle w:val="Ttulotablaofigura"/>
      </w:pPr>
      <w:r>
        <w:t>Escenarios de la TRM a doce meses</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295"/>
        <w:gridCol w:w="1323"/>
        <w:gridCol w:w="1696"/>
        <w:gridCol w:w="4046"/>
      </w:tblGrid>
      <w:tr w:rsidR="009D2FD2" w14:paraId="02559BEE" w14:textId="77777777">
        <w:trPr>
          <w:tblHeader/>
        </w:trPr>
        <w:tc>
          <w:tcPr>
            <w:tcW w:w="23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3A3511E" w14:textId="77777777" w:rsidR="009D2FD2" w:rsidRDefault="00000000">
            <w:pPr>
              <w:pStyle w:val="Tablacelda"/>
            </w:pPr>
            <w:r>
              <w:rPr>
                <w:b/>
                <w:bCs/>
              </w:rPr>
              <w:t>Escenario</w:t>
            </w:r>
          </w:p>
        </w:tc>
        <w:tc>
          <w:tcPr>
            <w:tcW w:w="13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B6BB255" w14:textId="77777777" w:rsidR="009D2FD2" w:rsidRDefault="00000000">
            <w:pPr>
              <w:pStyle w:val="Tablacelda"/>
            </w:pPr>
            <w:r>
              <w:rPr>
                <w:b/>
                <w:bCs/>
              </w:rPr>
              <w:t>Probabilidad</w:t>
            </w:r>
          </w:p>
        </w:tc>
        <w:tc>
          <w:tcPr>
            <w:tcW w:w="1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DA536D3" w14:textId="77777777" w:rsidR="009D2FD2" w:rsidRDefault="00000000">
            <w:pPr>
              <w:pStyle w:val="Tablacelda"/>
            </w:pPr>
            <w:r>
              <w:rPr>
                <w:b/>
                <w:bCs/>
              </w:rPr>
              <w:t>TRM en oct. 2027</w:t>
            </w:r>
          </w:p>
        </w:tc>
        <w:tc>
          <w:tcPr>
            <w:tcW w:w="40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6353596" w14:textId="77777777" w:rsidR="009D2FD2" w:rsidRDefault="00000000">
            <w:pPr>
              <w:pStyle w:val="Tablacelda"/>
            </w:pPr>
            <w:r>
              <w:rPr>
                <w:b/>
                <w:bCs/>
              </w:rPr>
              <w:t>Qué tendría que pasar</w:t>
            </w:r>
          </w:p>
        </w:tc>
      </w:tr>
      <w:tr w:rsidR="009D2FD2" w14:paraId="169F9D0D" w14:textId="77777777">
        <w:tc>
          <w:tcPr>
            <w:tcW w:w="2300" w:type="dxa"/>
            <w:tcBorders>
              <w:top w:val="nil"/>
              <w:left w:val="nil"/>
              <w:bottom w:val="nil"/>
              <w:right w:val="nil"/>
            </w:tcBorders>
            <w:tcMar>
              <w:top w:w="60" w:type="dxa"/>
              <w:left w:w="100" w:type="dxa"/>
              <w:bottom w:w="60" w:type="dxa"/>
              <w:right w:w="100" w:type="dxa"/>
            </w:tcMar>
          </w:tcPr>
          <w:p w14:paraId="294BA42C" w14:textId="77777777" w:rsidR="009D2FD2" w:rsidRDefault="00000000">
            <w:pPr>
              <w:pStyle w:val="Tablacelda"/>
            </w:pPr>
            <w:r>
              <w:t>Base: el peso se debilita gradualmente</w:t>
            </w:r>
          </w:p>
        </w:tc>
        <w:tc>
          <w:tcPr>
            <w:tcW w:w="1300" w:type="dxa"/>
            <w:tcBorders>
              <w:top w:val="nil"/>
              <w:left w:val="nil"/>
              <w:bottom w:val="nil"/>
              <w:right w:val="nil"/>
            </w:tcBorders>
            <w:tcMar>
              <w:top w:w="60" w:type="dxa"/>
              <w:left w:w="100" w:type="dxa"/>
              <w:bottom w:w="60" w:type="dxa"/>
              <w:right w:w="100" w:type="dxa"/>
            </w:tcMar>
          </w:tcPr>
          <w:p w14:paraId="55E5F3FE" w14:textId="77777777" w:rsidR="009D2FD2" w:rsidRDefault="00000000">
            <w:pPr>
              <w:pStyle w:val="Tablacelda"/>
            </w:pPr>
            <w:r>
              <w:t>50 %</w:t>
            </w:r>
          </w:p>
        </w:tc>
        <w:tc>
          <w:tcPr>
            <w:tcW w:w="1700" w:type="dxa"/>
            <w:tcBorders>
              <w:top w:val="nil"/>
              <w:left w:val="nil"/>
              <w:bottom w:val="nil"/>
              <w:right w:val="nil"/>
            </w:tcBorders>
            <w:tcMar>
              <w:top w:w="60" w:type="dxa"/>
              <w:left w:w="100" w:type="dxa"/>
              <w:bottom w:w="60" w:type="dxa"/>
              <w:right w:w="100" w:type="dxa"/>
            </w:tcMar>
          </w:tcPr>
          <w:p w14:paraId="71CE371B" w14:textId="77777777" w:rsidR="009D2FD2" w:rsidRDefault="00000000">
            <w:pPr>
              <w:pStyle w:val="Tablacelda"/>
            </w:pPr>
            <w:r>
              <w:t>$3.250–$3.500</w:t>
            </w:r>
          </w:p>
        </w:tc>
        <w:tc>
          <w:tcPr>
            <w:tcW w:w="4060" w:type="dxa"/>
            <w:tcBorders>
              <w:top w:val="nil"/>
              <w:left w:val="nil"/>
              <w:bottom w:val="nil"/>
              <w:right w:val="nil"/>
            </w:tcBorders>
            <w:tcMar>
              <w:top w:w="60" w:type="dxa"/>
              <w:left w:w="100" w:type="dxa"/>
              <w:bottom w:w="60" w:type="dxa"/>
              <w:right w:w="100" w:type="dxa"/>
            </w:tcMar>
          </w:tcPr>
          <w:p w14:paraId="0F24ECDD" w14:textId="77777777" w:rsidR="009D2FD2" w:rsidRDefault="00000000">
            <w:pPr>
              <w:pStyle w:val="Tablacelda"/>
            </w:pPr>
            <w:r>
              <w:t>El Banco de la República se detiene y la Fed sube una vez más, de modo que el diferencial se estrecha, el Brent baja hacia US$84 de promedio en 2027 (EIA), el déficit sube a 9,4 % del PIB</w:t>
            </w:r>
          </w:p>
        </w:tc>
      </w:tr>
      <w:tr w:rsidR="009D2FD2" w14:paraId="0A34B773" w14:textId="77777777">
        <w:tc>
          <w:tcPr>
            <w:tcW w:w="2300" w:type="dxa"/>
            <w:tcBorders>
              <w:top w:val="nil"/>
              <w:left w:val="nil"/>
              <w:bottom w:val="nil"/>
              <w:right w:val="nil"/>
            </w:tcBorders>
            <w:tcMar>
              <w:top w:w="60" w:type="dxa"/>
              <w:left w:w="100" w:type="dxa"/>
              <w:bottom w:w="60" w:type="dxa"/>
              <w:right w:w="100" w:type="dxa"/>
            </w:tcMar>
          </w:tcPr>
          <w:p w14:paraId="0458A922" w14:textId="77777777" w:rsidR="009D2FD2" w:rsidRDefault="00000000">
            <w:pPr>
              <w:pStyle w:val="Tablacelda"/>
            </w:pPr>
            <w:r>
              <w:t>Peso fuerte</w:t>
            </w:r>
          </w:p>
        </w:tc>
        <w:tc>
          <w:tcPr>
            <w:tcW w:w="1300" w:type="dxa"/>
            <w:tcBorders>
              <w:top w:val="nil"/>
              <w:left w:val="nil"/>
              <w:bottom w:val="nil"/>
              <w:right w:val="nil"/>
            </w:tcBorders>
            <w:tcMar>
              <w:top w:w="60" w:type="dxa"/>
              <w:left w:w="100" w:type="dxa"/>
              <w:bottom w:w="60" w:type="dxa"/>
              <w:right w:w="100" w:type="dxa"/>
            </w:tcMar>
          </w:tcPr>
          <w:p w14:paraId="585D33AC" w14:textId="77777777" w:rsidR="009D2FD2" w:rsidRDefault="00000000">
            <w:pPr>
              <w:pStyle w:val="Tablacelda"/>
            </w:pPr>
            <w:r>
              <w:t>25 %</w:t>
            </w:r>
          </w:p>
        </w:tc>
        <w:tc>
          <w:tcPr>
            <w:tcW w:w="1700" w:type="dxa"/>
            <w:tcBorders>
              <w:top w:val="nil"/>
              <w:left w:val="nil"/>
              <w:bottom w:val="nil"/>
              <w:right w:val="nil"/>
            </w:tcBorders>
            <w:tcMar>
              <w:top w:w="60" w:type="dxa"/>
              <w:left w:w="100" w:type="dxa"/>
              <w:bottom w:w="60" w:type="dxa"/>
              <w:right w:w="100" w:type="dxa"/>
            </w:tcMar>
          </w:tcPr>
          <w:p w14:paraId="0A9441C7" w14:textId="77777777" w:rsidR="009D2FD2" w:rsidRDefault="00000000">
            <w:pPr>
              <w:pStyle w:val="Tablacelda"/>
            </w:pPr>
            <w:r>
              <w:t>$3.000–$3.250</w:t>
            </w:r>
          </w:p>
        </w:tc>
        <w:tc>
          <w:tcPr>
            <w:tcW w:w="4060" w:type="dxa"/>
            <w:tcBorders>
              <w:top w:val="nil"/>
              <w:left w:val="nil"/>
              <w:bottom w:val="nil"/>
              <w:right w:val="nil"/>
            </w:tcBorders>
            <w:tcMar>
              <w:top w:w="60" w:type="dxa"/>
              <w:left w:w="100" w:type="dxa"/>
              <w:bottom w:w="60" w:type="dxa"/>
              <w:right w:w="100" w:type="dxa"/>
            </w:tcMar>
          </w:tcPr>
          <w:p w14:paraId="74AC1F2B" w14:textId="77777777" w:rsidR="009D2FD2" w:rsidRDefault="00000000">
            <w:pPr>
              <w:pStyle w:val="Tablacelda"/>
            </w:pPr>
            <w:r>
              <w:t>La Ley de Rescate y el apoyo del FMI dan credibilidad, el Brent se mantiene sobre US$95, la inversión directa sigue creciendo y la Fed se detiene</w:t>
            </w:r>
          </w:p>
        </w:tc>
      </w:tr>
      <w:tr w:rsidR="009D2FD2" w14:paraId="729924CE" w14:textId="77777777">
        <w:tc>
          <w:tcPr>
            <w:tcW w:w="2300" w:type="dxa"/>
            <w:tcBorders>
              <w:top w:val="nil"/>
              <w:left w:val="nil"/>
              <w:bottom w:val="single" w:sz="8" w:space="0" w:color="000000"/>
              <w:right w:val="nil"/>
            </w:tcBorders>
            <w:tcMar>
              <w:top w:w="60" w:type="dxa"/>
              <w:left w:w="100" w:type="dxa"/>
              <w:bottom w:w="60" w:type="dxa"/>
              <w:right w:w="100" w:type="dxa"/>
            </w:tcMar>
          </w:tcPr>
          <w:p w14:paraId="236E6FF3" w14:textId="77777777" w:rsidR="009D2FD2" w:rsidRDefault="00000000">
            <w:pPr>
              <w:pStyle w:val="Tablacelda"/>
            </w:pPr>
            <w:r>
              <w:t>Peso débil</w:t>
            </w:r>
          </w:p>
        </w:tc>
        <w:tc>
          <w:tcPr>
            <w:tcW w:w="1300" w:type="dxa"/>
            <w:tcBorders>
              <w:top w:val="nil"/>
              <w:left w:val="nil"/>
              <w:bottom w:val="single" w:sz="8" w:space="0" w:color="000000"/>
              <w:right w:val="nil"/>
            </w:tcBorders>
            <w:tcMar>
              <w:top w:w="60" w:type="dxa"/>
              <w:left w:w="100" w:type="dxa"/>
              <w:bottom w:w="60" w:type="dxa"/>
              <w:right w:w="100" w:type="dxa"/>
            </w:tcMar>
          </w:tcPr>
          <w:p w14:paraId="5EC98774" w14:textId="77777777" w:rsidR="009D2FD2" w:rsidRDefault="00000000">
            <w:pPr>
              <w:pStyle w:val="Tablacelda"/>
            </w:pPr>
            <w:r>
              <w:t>25 %</w:t>
            </w:r>
          </w:p>
        </w:tc>
        <w:tc>
          <w:tcPr>
            <w:tcW w:w="1700" w:type="dxa"/>
            <w:tcBorders>
              <w:top w:val="nil"/>
              <w:left w:val="nil"/>
              <w:bottom w:val="single" w:sz="8" w:space="0" w:color="000000"/>
              <w:right w:val="nil"/>
            </w:tcBorders>
            <w:tcMar>
              <w:top w:w="60" w:type="dxa"/>
              <w:left w:w="100" w:type="dxa"/>
              <w:bottom w:w="60" w:type="dxa"/>
              <w:right w:w="100" w:type="dxa"/>
            </w:tcMar>
          </w:tcPr>
          <w:p w14:paraId="745E6699" w14:textId="77777777" w:rsidR="009D2FD2" w:rsidRDefault="00000000">
            <w:pPr>
              <w:pStyle w:val="Tablacelda"/>
            </w:pPr>
            <w:r>
              <w:t>$3.500–$3.900</w:t>
            </w:r>
          </w:p>
        </w:tc>
        <w:tc>
          <w:tcPr>
            <w:tcW w:w="4060" w:type="dxa"/>
            <w:tcBorders>
              <w:top w:val="nil"/>
              <w:left w:val="nil"/>
              <w:bottom w:val="single" w:sz="8" w:space="0" w:color="000000"/>
              <w:right w:val="nil"/>
            </w:tcBorders>
            <w:tcMar>
              <w:top w:w="60" w:type="dxa"/>
              <w:left w:w="100" w:type="dxa"/>
              <w:bottom w:w="60" w:type="dxa"/>
              <w:right w:w="100" w:type="dxa"/>
            </w:tcMar>
          </w:tcPr>
          <w:p w14:paraId="6492E647" w14:textId="77777777" w:rsidR="009D2FD2" w:rsidRDefault="00000000">
            <w:pPr>
              <w:pStyle w:val="Tablacelda"/>
            </w:pPr>
            <w:r>
              <w:t>Nueva rebaja de S&amp;P o fallas en el ajuste fiscal, salidas de portafolio, Brent por debajo de US$75, más alzas de la Fed y dólar global fuerte</w:t>
            </w:r>
          </w:p>
        </w:tc>
      </w:tr>
    </w:tbl>
    <w:p w14:paraId="7825EC11" w14:textId="77777777" w:rsidR="009D2FD2" w:rsidRDefault="009D2FD2">
      <w:pPr>
        <w:spacing w:after="60"/>
      </w:pPr>
    </w:p>
    <w:p w14:paraId="61DE447B" w14:textId="77777777" w:rsidR="009D2FD2" w:rsidRDefault="00970D57">
      <w:r>
        <w:t xml:space="preserve">Ponderando los puntos medios de cada rango por sus probabilidades, el valor esperado es de as o menos $3.394, un 6,9 % por encima de la TRM actual. Ese resultado queda entre la paridad de poder adquisitivo ($3.254) y la paridad de tasas ($3.410), cerca del consenso de LatinFocus y de la encuesta del Banco de la República para el cierre de 2027 ($3.428), y por debajo de la proyección de Credicorp ($3.600) y de la «tasa justa» de Bancolombia ($3.600). </w:t>
      </w:r>
    </w:p>
    <w:p w14:paraId="26F609B6" w14:textId="77777777" w:rsidR="009D2FD2" w:rsidRDefault="00000000">
      <w:pPr>
        <w:pStyle w:val="TtuloAPAnivel2"/>
      </w:pPr>
      <w:r>
        <w:t>Conclusión y riesgos de la expectativa</w:t>
      </w:r>
    </w:p>
    <w:p w14:paraId="47DF5B97" w14:textId="77777777" w:rsidR="009D2FD2" w:rsidRDefault="00000000">
      <w:r>
        <w:t xml:space="preserve">El peso debería debilitarse moderadamente en los próximos doce meses, porque los tres apoyos que tuvo para revaluarese en 2026 (tasas altas, petróleo caro y menor prima de riesgo </w:t>
      </w:r>
      <w:r>
        <w:lastRenderedPageBreak/>
        <w:t>político) son los que más probablemente se desgasten, mientras que el riesgo fiscal crece. La dirección del movimiento es clara pero su magnitud es bastante por lo que se da el rango central de $3.250 a $3.500. hay datos que podrían cambiar la expectativa:  las decisiones del Banco de la República y de la Fed de finales de octubre, la aprobación y el contenido de la Ley de Rescate y la sanción del presupuesto de 2027, donde un ajuste creíble favorecería el escenario de peso fuerte, el precio del Brent que por debajo de US$75 empujaría hacia el escenario de peso débil, la perspectiva de las calificadoras y los flujos de portafolio en los próximos datos de balanza de pagos, y la inflación del cuarto trimestre.</w:t>
      </w:r>
    </w:p>
    <w:p w14:paraId="5EC98CD7" w14:textId="77777777" w:rsidR="009D2FD2" w:rsidRDefault="00000000">
      <w:pPr>
        <w:pStyle w:val="TtuloAPAnivel1"/>
      </w:pPr>
      <w:r>
        <w:t>A.2. Simulación del crédito en dólares</w:t>
      </w:r>
    </w:p>
    <w:p w14:paraId="752CFDE7" w14:textId="77777777" w:rsidR="009D2FD2" w:rsidRDefault="00000000">
      <w:pPr>
        <w:pStyle w:val="TtuloAPAnivel2"/>
      </w:pPr>
      <w:r>
        <w:t>Crédito y tasa seleccionados</w:t>
      </w:r>
    </w:p>
    <w:p w14:paraId="5A15730A" w14:textId="77777777" w:rsidR="009D2FD2" w:rsidRDefault="00000000">
      <w:r>
        <w:t>Se selecciona un préstamo SBA 7(a) para compra de equipo ofrecido por U.S. Bank, con tasa fija de 13,00 % nominal anual: el Prime Rate de 7,00 % más el margen máximo de 6,0 puntos que la Small Business Administración (SBA) permite para préstamos entre USD 50.001 y 250.000 (</w:t>
      </w:r>
      <w:hyperlink r:id="rId34" w:history="1">
        <w:r w:rsidR="009D2FD2">
          <w:rPr>
            <w:rStyle w:val="Hipervnculo"/>
          </w:rPr>
          <w:t>U.S. Small Business Administration, s. f.</w:t>
        </w:r>
      </w:hyperlink>
      <w:r>
        <w:t xml:space="preserve">; </w:t>
      </w:r>
      <w:hyperlink r:id="rId35" w:history="1">
        <w:r w:rsidR="009D2FD2">
          <w:rPr>
            <w:rStyle w:val="Hipervnculo"/>
          </w:rPr>
          <w:t>NerdWallet, s. f.-d</w:t>
        </w:r>
      </w:hyperlink>
      <w:r>
        <w:t>). El Prime subió a 7,00 % el 17 de septiembre de 2026, tras el alza de la Fed (</w:t>
      </w:r>
      <w:proofErr w:type="spellStart"/>
      <w:r>
        <w:fldChar w:fldCharType="begin"/>
      </w:r>
      <w:r>
        <w:instrText>HYPERLINK "https://primerates.com/prime-rate-rises-7-percent-fed-first-hike-since-july-2023/"</w:instrText>
      </w:r>
      <w:r>
        <w:fldChar w:fldCharType="separate"/>
      </w:r>
      <w:r>
        <w:rPr>
          <w:rStyle w:val="Hipervnculo"/>
        </w:rPr>
        <w:t>PrimeRates</w:t>
      </w:r>
      <w:proofErr w:type="spellEnd"/>
      <w:r>
        <w:rPr>
          <w:rStyle w:val="Hipervnculo"/>
        </w:rPr>
        <w:t>, 2026</w:t>
      </w:r>
      <w:r>
        <w:fldChar w:fldCharType="end"/>
      </w:r>
      <w:r>
        <w:t>), y U.S. Bank lo confirmó para su propia tasa preferencial en un comunicado del 16 de septiembre (</w:t>
      </w:r>
      <w:hyperlink r:id="rId36" w:history="1">
        <w:r w:rsidR="009D2FD2">
          <w:rPr>
            <w:rStyle w:val="Hipervnculo"/>
          </w:rPr>
          <w:t>U.S. Bank, 2026b</w:t>
        </w:r>
      </w:hyperlink>
      <w:r>
        <w:t>). Se usa el tope de la SBA como supuesto conservador, pues refleja el costo para una empresa sin historial crediticio en Estados Unidos, un préstamo real podría pactarse por debajo.</w:t>
      </w:r>
    </w:p>
    <w:p w14:paraId="03EB24AC" w14:textId="77777777" w:rsidR="00D20524" w:rsidRDefault="00000000">
      <w:pPr>
        <w:pStyle w:val="Rtulotablaofigura"/>
      </w:pPr>
      <w:r>
        <w:rPr>
          <w:b/>
          <w:bCs/>
        </w:rPr>
        <w:t>Tabla 7</w:t>
      </w:r>
    </w:p>
    <w:p w14:paraId="6EEA8C62" w14:textId="77777777" w:rsidR="00D20524" w:rsidRDefault="00000000">
      <w:pPr>
        <w:pStyle w:val="Ttulotablaofigura"/>
      </w:pPr>
      <w:r>
        <w:t>Condiciones del crédito SBA 7(a) seleccionado</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000"/>
        <w:gridCol w:w="6360"/>
      </w:tblGrid>
      <w:tr w:rsidR="009D2FD2" w14:paraId="042C7D05" w14:textId="77777777">
        <w:trPr>
          <w:tblHeader/>
        </w:trPr>
        <w:tc>
          <w:tcPr>
            <w:tcW w:w="30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7188AC1" w14:textId="77777777" w:rsidR="009D2FD2" w:rsidRDefault="00000000">
            <w:pPr>
              <w:pStyle w:val="Tablacelda"/>
            </w:pPr>
            <w:r>
              <w:rPr>
                <w:b/>
                <w:bCs/>
              </w:rPr>
              <w:t>Concepto</w:t>
            </w:r>
          </w:p>
        </w:tc>
        <w:tc>
          <w:tcPr>
            <w:tcW w:w="63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38FF165" w14:textId="77777777" w:rsidR="009D2FD2" w:rsidRDefault="00000000">
            <w:pPr>
              <w:pStyle w:val="Tablacelda"/>
            </w:pPr>
            <w:r>
              <w:rPr>
                <w:b/>
                <w:bCs/>
              </w:rPr>
              <w:t>Valor</w:t>
            </w:r>
          </w:p>
        </w:tc>
      </w:tr>
      <w:tr w:rsidR="009D2FD2" w14:paraId="4ACDD965" w14:textId="77777777">
        <w:tc>
          <w:tcPr>
            <w:tcW w:w="3000" w:type="dxa"/>
            <w:tcBorders>
              <w:top w:val="nil"/>
              <w:left w:val="nil"/>
              <w:bottom w:val="nil"/>
              <w:right w:val="nil"/>
            </w:tcBorders>
            <w:tcMar>
              <w:top w:w="60" w:type="dxa"/>
              <w:left w:w="100" w:type="dxa"/>
              <w:bottom w:w="60" w:type="dxa"/>
              <w:right w:w="100" w:type="dxa"/>
            </w:tcMar>
          </w:tcPr>
          <w:p w14:paraId="39C4EDAD" w14:textId="77777777" w:rsidR="009D2FD2" w:rsidRDefault="00000000">
            <w:pPr>
              <w:pStyle w:val="Tablacelda"/>
            </w:pPr>
            <w:r>
              <w:t>Monto a financiar</w:t>
            </w:r>
          </w:p>
        </w:tc>
        <w:tc>
          <w:tcPr>
            <w:tcW w:w="6360" w:type="dxa"/>
            <w:tcBorders>
              <w:top w:val="nil"/>
              <w:left w:val="nil"/>
              <w:bottom w:val="nil"/>
              <w:right w:val="nil"/>
            </w:tcBorders>
            <w:tcMar>
              <w:top w:w="60" w:type="dxa"/>
              <w:left w:w="100" w:type="dxa"/>
              <w:bottom w:w="60" w:type="dxa"/>
              <w:right w:w="100" w:type="dxa"/>
            </w:tcMar>
          </w:tcPr>
          <w:p w14:paraId="52DEDCEA" w14:textId="77777777" w:rsidR="009D2FD2" w:rsidRDefault="00000000">
            <w:pPr>
              <w:pStyle w:val="Tablacelda"/>
            </w:pPr>
            <w:r>
              <w:t>COP 360.000.000 = USD 113.397,61 (TRM 3.174,67)</w:t>
            </w:r>
          </w:p>
        </w:tc>
      </w:tr>
      <w:tr w:rsidR="009D2FD2" w14:paraId="4D099CBB" w14:textId="77777777">
        <w:tc>
          <w:tcPr>
            <w:tcW w:w="3000" w:type="dxa"/>
            <w:tcBorders>
              <w:top w:val="nil"/>
              <w:left w:val="nil"/>
              <w:bottom w:val="nil"/>
              <w:right w:val="nil"/>
            </w:tcBorders>
            <w:tcMar>
              <w:top w:w="60" w:type="dxa"/>
              <w:left w:w="100" w:type="dxa"/>
              <w:bottom w:w="60" w:type="dxa"/>
              <w:right w:w="100" w:type="dxa"/>
            </w:tcMar>
          </w:tcPr>
          <w:p w14:paraId="5619D01B" w14:textId="77777777" w:rsidR="009D2FD2" w:rsidRDefault="00000000">
            <w:pPr>
              <w:pStyle w:val="Tablacelda"/>
            </w:pPr>
            <w:r>
              <w:t>Plazo y cuotas</w:t>
            </w:r>
          </w:p>
        </w:tc>
        <w:tc>
          <w:tcPr>
            <w:tcW w:w="6360" w:type="dxa"/>
            <w:tcBorders>
              <w:top w:val="nil"/>
              <w:left w:val="nil"/>
              <w:bottom w:val="nil"/>
              <w:right w:val="nil"/>
            </w:tcBorders>
            <w:tcMar>
              <w:top w:w="60" w:type="dxa"/>
              <w:left w:w="100" w:type="dxa"/>
              <w:bottom w:w="60" w:type="dxa"/>
              <w:right w:w="100" w:type="dxa"/>
            </w:tcMar>
          </w:tcPr>
          <w:p w14:paraId="37518289" w14:textId="77777777" w:rsidR="009D2FD2" w:rsidRDefault="00000000">
            <w:pPr>
              <w:pStyle w:val="Tablacelda"/>
            </w:pPr>
            <w:r>
              <w:t>10 años, 40 cuotas trimestrales constantes (sistema francés)</w:t>
            </w:r>
          </w:p>
        </w:tc>
      </w:tr>
      <w:tr w:rsidR="009D2FD2" w14:paraId="1BFBD8B1" w14:textId="77777777">
        <w:tc>
          <w:tcPr>
            <w:tcW w:w="3000" w:type="dxa"/>
            <w:tcBorders>
              <w:top w:val="nil"/>
              <w:left w:val="nil"/>
              <w:bottom w:val="nil"/>
              <w:right w:val="nil"/>
            </w:tcBorders>
            <w:tcMar>
              <w:top w:w="60" w:type="dxa"/>
              <w:left w:w="100" w:type="dxa"/>
              <w:bottom w:w="60" w:type="dxa"/>
              <w:right w:w="100" w:type="dxa"/>
            </w:tcMar>
          </w:tcPr>
          <w:p w14:paraId="04CE9F68" w14:textId="77777777" w:rsidR="009D2FD2" w:rsidRDefault="00000000">
            <w:pPr>
              <w:pStyle w:val="Tablacelda"/>
            </w:pPr>
            <w:r>
              <w:t>Tasa</w:t>
            </w:r>
          </w:p>
        </w:tc>
        <w:tc>
          <w:tcPr>
            <w:tcW w:w="6360" w:type="dxa"/>
            <w:tcBorders>
              <w:top w:val="nil"/>
              <w:left w:val="nil"/>
              <w:bottom w:val="nil"/>
              <w:right w:val="nil"/>
            </w:tcBorders>
            <w:tcMar>
              <w:top w:w="60" w:type="dxa"/>
              <w:left w:w="100" w:type="dxa"/>
              <w:bottom w:w="60" w:type="dxa"/>
              <w:right w:w="100" w:type="dxa"/>
            </w:tcMar>
          </w:tcPr>
          <w:p w14:paraId="05C61AB9" w14:textId="77777777" w:rsidR="009D2FD2" w:rsidRDefault="00000000">
            <w:pPr>
              <w:pStyle w:val="Tablacelda"/>
            </w:pPr>
            <w:r>
              <w:t>13,00 % nominal anual fija, trimestre vencido (3,25 % trimestral); 13,65 % efectiva anual</w:t>
            </w:r>
          </w:p>
        </w:tc>
      </w:tr>
      <w:tr w:rsidR="009D2FD2" w14:paraId="5E753CCC" w14:textId="77777777">
        <w:tc>
          <w:tcPr>
            <w:tcW w:w="3000" w:type="dxa"/>
            <w:tcBorders>
              <w:top w:val="nil"/>
              <w:left w:val="nil"/>
              <w:bottom w:val="nil"/>
              <w:right w:val="nil"/>
            </w:tcBorders>
            <w:tcMar>
              <w:top w:w="60" w:type="dxa"/>
              <w:left w:w="100" w:type="dxa"/>
              <w:bottom w:w="60" w:type="dxa"/>
              <w:right w:w="100" w:type="dxa"/>
            </w:tcMar>
          </w:tcPr>
          <w:p w14:paraId="27B4BB98" w14:textId="77777777" w:rsidR="009D2FD2" w:rsidRDefault="00000000">
            <w:pPr>
              <w:pStyle w:val="Tablacelda"/>
            </w:pPr>
            <w:r>
              <w:lastRenderedPageBreak/>
              <w:t>Cuota trimestral</w:t>
            </w:r>
          </w:p>
        </w:tc>
        <w:tc>
          <w:tcPr>
            <w:tcW w:w="6360" w:type="dxa"/>
            <w:tcBorders>
              <w:top w:val="nil"/>
              <w:left w:val="nil"/>
              <w:bottom w:val="nil"/>
              <w:right w:val="nil"/>
            </w:tcBorders>
            <w:tcMar>
              <w:top w:w="60" w:type="dxa"/>
              <w:left w:w="100" w:type="dxa"/>
              <w:bottom w:w="60" w:type="dxa"/>
              <w:right w:w="100" w:type="dxa"/>
            </w:tcMar>
          </w:tcPr>
          <w:p w14:paraId="5B8D8006" w14:textId="77777777" w:rsidR="009D2FD2" w:rsidRDefault="00000000">
            <w:pPr>
              <w:pStyle w:val="Tablacelda"/>
            </w:pPr>
            <w:r>
              <w:t>USD 5.106,06</w:t>
            </w:r>
          </w:p>
        </w:tc>
      </w:tr>
      <w:tr w:rsidR="009D2FD2" w14:paraId="3AC8EAFB" w14:textId="77777777">
        <w:tc>
          <w:tcPr>
            <w:tcW w:w="3000" w:type="dxa"/>
            <w:tcBorders>
              <w:top w:val="nil"/>
              <w:left w:val="nil"/>
              <w:bottom w:val="nil"/>
              <w:right w:val="nil"/>
            </w:tcBorders>
            <w:tcMar>
              <w:top w:w="60" w:type="dxa"/>
              <w:left w:w="100" w:type="dxa"/>
              <w:bottom w:w="60" w:type="dxa"/>
              <w:right w:w="100" w:type="dxa"/>
            </w:tcMar>
          </w:tcPr>
          <w:p w14:paraId="52AA370C" w14:textId="77777777" w:rsidR="009D2FD2" w:rsidRDefault="00000000">
            <w:pPr>
              <w:pStyle w:val="Tablacelda"/>
            </w:pPr>
            <w:r>
              <w:t>Total pagado / intereses</w:t>
            </w:r>
          </w:p>
        </w:tc>
        <w:tc>
          <w:tcPr>
            <w:tcW w:w="6360" w:type="dxa"/>
            <w:tcBorders>
              <w:top w:val="nil"/>
              <w:left w:val="nil"/>
              <w:bottom w:val="nil"/>
              <w:right w:val="nil"/>
            </w:tcBorders>
            <w:tcMar>
              <w:top w:w="60" w:type="dxa"/>
              <w:left w:w="100" w:type="dxa"/>
              <w:bottom w:w="60" w:type="dxa"/>
              <w:right w:w="100" w:type="dxa"/>
            </w:tcMar>
          </w:tcPr>
          <w:p w14:paraId="670EB880" w14:textId="77777777" w:rsidR="009D2FD2" w:rsidRDefault="00000000">
            <w:pPr>
              <w:pStyle w:val="Tablacelda"/>
            </w:pPr>
            <w:r>
              <w:t>USD 204.242,44 / USD 90.844,82</w:t>
            </w:r>
          </w:p>
        </w:tc>
      </w:tr>
      <w:tr w:rsidR="009D2FD2" w14:paraId="3B671218" w14:textId="77777777">
        <w:tc>
          <w:tcPr>
            <w:tcW w:w="3000" w:type="dxa"/>
            <w:tcBorders>
              <w:top w:val="nil"/>
              <w:left w:val="nil"/>
              <w:bottom w:val="nil"/>
              <w:right w:val="nil"/>
            </w:tcBorders>
            <w:tcMar>
              <w:top w:w="60" w:type="dxa"/>
              <w:left w:w="100" w:type="dxa"/>
              <w:bottom w:w="60" w:type="dxa"/>
              <w:right w:w="100" w:type="dxa"/>
            </w:tcMar>
          </w:tcPr>
          <w:p w14:paraId="48EB68EA" w14:textId="77777777" w:rsidR="009D2FD2" w:rsidRDefault="00000000">
            <w:pPr>
              <w:pStyle w:val="Tablacelda"/>
            </w:pPr>
            <w:r>
              <w:t>Comisión de garantía SBA</w:t>
            </w:r>
          </w:p>
        </w:tc>
        <w:tc>
          <w:tcPr>
            <w:tcW w:w="6360" w:type="dxa"/>
            <w:tcBorders>
              <w:top w:val="nil"/>
              <w:left w:val="nil"/>
              <w:bottom w:val="nil"/>
              <w:right w:val="nil"/>
            </w:tcBorders>
            <w:tcMar>
              <w:top w:w="60" w:type="dxa"/>
              <w:left w:w="100" w:type="dxa"/>
              <w:bottom w:w="60" w:type="dxa"/>
              <w:right w:w="100" w:type="dxa"/>
            </w:tcMar>
          </w:tcPr>
          <w:p w14:paraId="0A24A8A9" w14:textId="77777777" w:rsidR="009D2FD2" w:rsidRDefault="00000000">
            <w:pPr>
              <w:pStyle w:val="Tablacelda"/>
            </w:pPr>
            <w:r>
              <w:t>2 % del 85 % garantizado = USD 1.927,76 (COP 6,12 millones); costo efectivo con comisión: 14,13 % EA</w:t>
            </w:r>
          </w:p>
        </w:tc>
      </w:tr>
      <w:tr w:rsidR="009D2FD2" w14:paraId="466D36AD" w14:textId="77777777">
        <w:tc>
          <w:tcPr>
            <w:tcW w:w="3000" w:type="dxa"/>
            <w:tcBorders>
              <w:top w:val="nil"/>
              <w:left w:val="nil"/>
              <w:bottom w:val="single" w:sz="8" w:space="0" w:color="000000"/>
              <w:right w:val="nil"/>
            </w:tcBorders>
            <w:tcMar>
              <w:top w:w="60" w:type="dxa"/>
              <w:left w:w="100" w:type="dxa"/>
              <w:bottom w:w="60" w:type="dxa"/>
              <w:right w:w="100" w:type="dxa"/>
            </w:tcMar>
          </w:tcPr>
          <w:p w14:paraId="7C2DED1F" w14:textId="77777777" w:rsidR="009D2FD2" w:rsidRDefault="00000000">
            <w:pPr>
              <w:pStyle w:val="Tablacelda"/>
            </w:pPr>
            <w:r>
              <w:t>Forma de cotización y consulta</w:t>
            </w:r>
          </w:p>
        </w:tc>
        <w:tc>
          <w:tcPr>
            <w:tcW w:w="6360" w:type="dxa"/>
            <w:tcBorders>
              <w:top w:val="nil"/>
              <w:left w:val="nil"/>
              <w:bottom w:val="single" w:sz="8" w:space="0" w:color="000000"/>
              <w:right w:val="nil"/>
            </w:tcBorders>
            <w:tcMar>
              <w:top w:w="60" w:type="dxa"/>
              <w:left w:w="100" w:type="dxa"/>
              <w:bottom w:w="60" w:type="dxa"/>
              <w:right w:w="100" w:type="dxa"/>
            </w:tcMar>
          </w:tcPr>
          <w:p w14:paraId="08EEA644" w14:textId="77777777" w:rsidR="009D2FD2" w:rsidRDefault="00000000">
            <w:pPr>
              <w:pStyle w:val="Tablacelda"/>
            </w:pPr>
            <w:r>
              <w:t>Prime + margen, fijado al aprobar; fuentes consultadas el 27 de octubre de 2026</w:t>
            </w:r>
          </w:p>
        </w:tc>
      </w:tr>
    </w:tbl>
    <w:p w14:paraId="66D7589F" w14:textId="77777777" w:rsidR="009D2FD2" w:rsidRDefault="009D2FD2">
      <w:pPr>
        <w:spacing w:after="60"/>
      </w:pPr>
    </w:p>
    <w:p w14:paraId="6E6FBA6E" w14:textId="77777777" w:rsidR="009D2FD2" w:rsidRDefault="00000000">
      <w:r>
        <w:t>La tasa es adecuada para financiar maquinaria por tres razones. Primero, el Prime es la tasa base que los bancos estadounidenses usan para sus préstamos empresariales y la SBA lo toma como referencia para sus topes. Segundo, el programa 7(a) es el más usado en Estados Unidos para financiar los activos productivos de pequeñas empresas, incluye la compra de equipo entre sus usos y permite plazos de hasta 10 años para equipo. Tercero, la modalidad de tasa fija hace que la cuota en dólares sea realmente constante.</w:t>
      </w:r>
    </w:p>
    <w:p w14:paraId="4F4FF2AA" w14:textId="77777777" w:rsidR="009D2FD2" w:rsidRDefault="00000000">
      <w:pPr>
        <w:pStyle w:val="TtuloAPAnivel2"/>
      </w:pPr>
      <w:r>
        <w:t>Por qué SBA 7(a) y no SBA 504</w:t>
      </w:r>
    </w:p>
    <w:p w14:paraId="491D4264" w14:textId="77777777" w:rsidR="009D2FD2" w:rsidRDefault="00F570AD">
      <w:r>
        <w:t>Otra opción para realizar el ejercicio seria el programa SBA 504. Su estructura suele ser 50 % de un banco, 40 % de una Certified Development Company (CDC) con garantía de la SBA y 10 % del dueño (</w:t>
      </w:r>
      <w:proofErr w:type="spellStart"/>
      <w:r>
        <w:fldChar w:fldCharType="begin"/>
      </w:r>
      <w:r>
        <w:instrText>HYPERLINK "https://www.nerdwallet.com/business/loans/learn/sba-504-loans"</w:instrText>
      </w:r>
      <w:r>
        <w:fldChar w:fldCharType="separate"/>
      </w:r>
      <w:r>
        <w:rPr>
          <w:rStyle w:val="Hipervnculo"/>
        </w:rPr>
        <w:t>NerdWallet</w:t>
      </w:r>
      <w:proofErr w:type="spellEnd"/>
      <w:r>
        <w:rPr>
          <w:rStyle w:val="Hipervnculo"/>
        </w:rPr>
        <w:t>, s. f.-a</w:t>
      </w:r>
      <w:r>
        <w:fldChar w:fldCharType="end"/>
      </w:r>
      <w:r>
        <w:t>), el tramo de la CDC tiene una tasa fija baja: 6,60 % efectiva a 10 años en la venta de septiembre de 2026 (</w:t>
      </w:r>
      <w:proofErr w:type="spellStart"/>
      <w:r>
        <w:fldChar w:fldCharType="begin"/>
      </w:r>
      <w:r>
        <w:instrText>HYPERLINK "https://www.crowdfundedwealth.com/articles/sba-504-loan-rates-2026"</w:instrText>
      </w:r>
      <w:r>
        <w:fldChar w:fldCharType="separate"/>
      </w:r>
      <w:r>
        <w:rPr>
          <w:rStyle w:val="Hipervnculo"/>
        </w:rPr>
        <w:t>Crowdfunded</w:t>
      </w:r>
      <w:proofErr w:type="spellEnd"/>
      <w:r>
        <w:rPr>
          <w:rStyle w:val="Hipervnculo"/>
        </w:rPr>
        <w:t xml:space="preserve"> Wealth, 2026, con datos de </w:t>
      </w:r>
      <w:proofErr w:type="spellStart"/>
      <w:r>
        <w:rPr>
          <w:rStyle w:val="Hipervnculo"/>
        </w:rPr>
        <w:t>SomerCor</w:t>
      </w:r>
      <w:proofErr w:type="spellEnd"/>
      <w:r>
        <w:fldChar w:fldCharType="end"/>
      </w:r>
      <w:r>
        <w:t>), por lo que el 504 sería probablemente más barato.</w:t>
      </w:r>
    </w:p>
    <w:p w14:paraId="0288DFFB" w14:textId="77777777" w:rsidR="009D2FD2" w:rsidRDefault="00000000">
      <w:r>
        <w:t>Aun así, el 7(a) se ajusta mejor al caso. El proyecto, de unos USD 126.000, está muy por debajo del rango en que los CDC consideran viable un 504, que son proyectos de USD 350.000 o más (</w:t>
      </w:r>
      <w:hyperlink r:id="rId37" w:history="1">
        <w:r w:rsidR="009D2FD2">
          <w:rPr>
            <w:rStyle w:val="Hipervnculo"/>
          </w:rPr>
          <w:t>University of Wisconsin–Stevens Point, 2026</w:t>
        </w:r>
      </w:hyperlink>
      <w:r>
        <w:t>). El 504 son en realidad dos créditos con tasas y plazos distintos, lo que dificulta modelar una única cuota constante por sistema francés. Por último, la tasa del tramo bancario no es pública, así que el costo total no se puede verificar. El 7(a) entrega en un solo crédito el plazo, la periodicidad y una tasa verificable.</w:t>
      </w:r>
    </w:p>
    <w:p w14:paraId="58055801" w14:textId="77777777" w:rsidR="009D2FD2" w:rsidRDefault="00000000">
      <w:pPr>
        <w:pStyle w:val="TtuloAPAnivel2"/>
      </w:pPr>
      <w:r>
        <w:lastRenderedPageBreak/>
        <w:t>Por qué U.S. Bank</w:t>
      </w:r>
    </w:p>
    <w:p w14:paraId="600E0491" w14:textId="77777777" w:rsidR="009D2FD2" w:rsidRDefault="00000000">
      <w:r>
        <w:t>Entre los prestamistas SBA más activos del año fiscal 2026 (</w:t>
      </w:r>
      <w:proofErr w:type="spellStart"/>
      <w:r>
        <w:fldChar w:fldCharType="begin"/>
      </w:r>
      <w:r>
        <w:instrText>HYPERLINK "https://www.nerdwallet.com/business/loans/learn/sba-lenders"</w:instrText>
      </w:r>
      <w:r>
        <w:fldChar w:fldCharType="separate"/>
      </w:r>
      <w:r>
        <w:rPr>
          <w:rStyle w:val="Hipervnculo"/>
        </w:rPr>
        <w:t>NerdWallet</w:t>
      </w:r>
      <w:proofErr w:type="spellEnd"/>
      <w:r>
        <w:rPr>
          <w:rStyle w:val="Hipervnculo"/>
        </w:rPr>
        <w:t>, s. f.-c</w:t>
      </w:r>
      <w:r>
        <w:fldChar w:fldCharType="end"/>
      </w:r>
      <w:r>
        <w:t>), U.S. Bank es el único que: ofrece el 7(a) para equipo hasta 10 años con opción de tasa fija, no cobra cargos propios de procesamiento, acepta negocios con seis meses de operación (</w:t>
      </w:r>
      <w:hyperlink r:id="rId38" w:history="1">
        <w:r w:rsidR="009D2FD2">
          <w:rPr>
            <w:rStyle w:val="Hipervnculo"/>
          </w:rPr>
          <w:t>U.S. Bank, s. f.</w:t>
        </w:r>
      </w:hyperlink>
      <w:r>
        <w:t>), su préstamo promedio (USD 269.357) se asemeja al del caso. Además, fue el cuarto prestamista 7(a) del país en el año fiscal 2026, con un récord de USD 943 millones (</w:t>
      </w:r>
      <w:hyperlink r:id="rId39" w:history="1">
        <w:r w:rsidR="009D2FD2">
          <w:rPr>
            <w:rStyle w:val="Hipervnculo"/>
          </w:rPr>
          <w:t>U.S. Bank, 2026a</w:t>
        </w:r>
      </w:hyperlink>
      <w:r>
        <w:t xml:space="preserve">). </w:t>
      </w:r>
    </w:p>
    <w:p w14:paraId="14D2163B" w14:textId="77777777" w:rsidR="009D2FD2" w:rsidRDefault="00000000">
      <w:pPr>
        <w:pStyle w:val="TtuloAPAnivel1"/>
      </w:pPr>
      <w:r>
        <w:t>A.3. Conversión del crédito a pesos colombianos</w:t>
      </w:r>
    </w:p>
    <w:p w14:paraId="5AAB89F5" w14:textId="77777777" w:rsidR="009D2FD2" w:rsidRDefault="00000000">
      <w:r>
        <w:t>Cada cuota en dólares se multiplica por la TRM esperada para su trimestre. Primero se usa la TRM spot de la fecha de valoración ($3.174,67) como escenario base y después trayectorias trimestrales obtenidas de una simulación Monte Carlo de 20.000 caminos posibles de la TRM. La simulación tiene dos tramos. En el primer año, cada camino se asigna a uno de los tres escenarios de la sección A.1 según su probabilidad (50 %, 25 % y 25 %) y termina en un valor dentro del rango de ese escenario. Del segundo al décimo año, la TRM sigue un paseo aleatorio geométrico.</w:t>
      </w:r>
    </w:p>
    <w:p w14:paraId="01D86283" w14:textId="77777777" w:rsidR="009D2FD2" w:rsidRDefault="00E95501">
      <w:r>
        <w:t>La volatilidad versión se estiman con la historia de la TRM: se toman los valores de cierre de cada trimestre desde 1993 (</w:t>
      </w:r>
      <w:hyperlink r:id="rId40" w:history="1">
        <w:r>
          <w:rPr>
            <w:rStyle w:val="Hipervnculo"/>
          </w:rPr>
          <w:t>Superintendencia Financiera de Colombia, s. f.,</w:t>
        </w:r>
      </w:hyperlink>
      <w:r>
        <w:t xml:space="preserve"> hasta 2022; </w:t>
      </w:r>
      <w:hyperlink r:id="rId41" w:history="1">
        <w:r>
          <w:rPr>
            <w:rStyle w:val="Hipervnculo"/>
          </w:rPr>
          <w:t>Federal Reserve Bank of St. Louis, s. f.-b,</w:t>
        </w:r>
      </w:hyperlink>
      <w:r>
        <w:t xml:space="preserve"> para 2023; cierres de mercado de </w:t>
      </w:r>
      <w:hyperlink r:id="rId42" w:history="1">
        <w:r>
          <w:rPr>
            <w:rStyle w:val="Hipervnculo"/>
          </w:rPr>
          <w:t>Pound Sterling Live [s. f.-a, s. f.-b]</w:t>
        </w:r>
      </w:hyperlink>
      <w:r>
        <w:t xml:space="preserve"> y </w:t>
      </w:r>
      <w:hyperlink r:id="rId43" w:history="1">
        <w:r>
          <w:rPr>
            <w:rStyle w:val="Hipervnculo"/>
          </w:rPr>
          <w:t>ValutaFX [s. f.]</w:t>
        </w:r>
      </w:hyperlink>
      <w:r>
        <w:t xml:space="preserve"> para 2024 a septiembre de 2026), se calculan los rendimientos logarítmicos trimestrales y la deriva se obtiene como su promedio y la volatilidad como su desviación estándar, ambas anualizadas. Como no hay una respuesta única sobre cuánta historia usar, se probaron seis ventanas:</w:t>
      </w:r>
    </w:p>
    <w:p w14:paraId="6547DB48" w14:textId="77777777" w:rsidR="00D20524" w:rsidRDefault="00000000">
      <w:pPr>
        <w:pStyle w:val="Rtulotablaofigura"/>
      </w:pPr>
      <w:r>
        <w:rPr>
          <w:b/>
          <w:bCs/>
        </w:rPr>
        <w:lastRenderedPageBreak/>
        <w:t>Tabla 8</w:t>
      </w:r>
    </w:p>
    <w:p w14:paraId="10B452FF" w14:textId="77777777" w:rsidR="00D20524" w:rsidRDefault="00000000">
      <w:pPr>
        <w:pStyle w:val="Ttulotablaofigura"/>
      </w:pPr>
      <w:r>
        <w:t>Parámetros de la TRM según la ventana histórica</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350"/>
        <w:gridCol w:w="1300"/>
        <w:gridCol w:w="1250"/>
        <w:gridCol w:w="1450"/>
        <w:gridCol w:w="1450"/>
        <w:gridCol w:w="1560"/>
      </w:tblGrid>
      <w:tr w:rsidR="009D2FD2" w14:paraId="01EA127C" w14:textId="77777777">
        <w:trPr>
          <w:tblHeader/>
        </w:trPr>
        <w:tc>
          <w:tcPr>
            <w:tcW w:w="23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0E0B216" w14:textId="77777777" w:rsidR="009D2FD2" w:rsidRDefault="00000000">
            <w:pPr>
              <w:pStyle w:val="Tablacelda"/>
            </w:pPr>
            <w:r>
              <w:rPr>
                <w:b/>
                <w:bCs/>
              </w:rPr>
              <w:t>Ventana</w:t>
            </w:r>
          </w:p>
        </w:tc>
        <w:tc>
          <w:tcPr>
            <w:tcW w:w="13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71CF1B2" w14:textId="77777777" w:rsidR="009D2FD2" w:rsidRDefault="00000000">
            <w:pPr>
              <w:pStyle w:val="Tablacelda"/>
              <w:jc w:val="right"/>
            </w:pPr>
            <w:r>
              <w:rPr>
                <w:b/>
                <w:bCs/>
              </w:rPr>
              <w:t>Trimestres</w:t>
            </w:r>
          </w:p>
        </w:tc>
        <w:tc>
          <w:tcPr>
            <w:tcW w:w="12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C7135AC" w14:textId="77777777" w:rsidR="009D2FD2" w:rsidRDefault="00000000">
            <w:pPr>
              <w:pStyle w:val="Tablacelda"/>
              <w:jc w:val="right"/>
            </w:pPr>
            <w:r>
              <w:rPr>
                <w:b/>
                <w:bCs/>
              </w:rPr>
              <w:t>Deriva anual</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E24D2A4" w14:textId="77777777" w:rsidR="009D2FD2" w:rsidRDefault="00000000">
            <w:pPr>
              <w:pStyle w:val="Tablacelda"/>
              <w:jc w:val="right"/>
            </w:pPr>
            <w:r>
              <w:rPr>
                <w:b/>
                <w:bCs/>
              </w:rPr>
              <w:t>Volatilidad anual</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5B1982C" w14:textId="77777777" w:rsidR="009D2FD2" w:rsidRDefault="00000000">
            <w:pPr>
              <w:pStyle w:val="Tablacelda"/>
              <w:jc w:val="right"/>
            </w:pPr>
            <w:r>
              <w:rPr>
                <w:b/>
                <w:bCs/>
              </w:rPr>
              <w:t>TRM mediana año 10</w:t>
            </w:r>
          </w:p>
        </w:tc>
        <w:tc>
          <w:tcPr>
            <w:tcW w:w="15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927AB78" w14:textId="77777777" w:rsidR="009D2FD2" w:rsidRDefault="00000000">
            <w:pPr>
              <w:pStyle w:val="Tablacelda"/>
              <w:jc w:val="right"/>
            </w:pPr>
            <w:r>
              <w:rPr>
                <w:b/>
                <w:bCs/>
              </w:rPr>
              <w:t>Costo medio (COP mill.)</w:t>
            </w:r>
          </w:p>
        </w:tc>
      </w:tr>
      <w:tr w:rsidR="009D2FD2" w14:paraId="55B550DA" w14:textId="77777777">
        <w:tc>
          <w:tcPr>
            <w:tcW w:w="2350" w:type="dxa"/>
            <w:tcBorders>
              <w:top w:val="nil"/>
              <w:left w:val="nil"/>
              <w:bottom w:val="nil"/>
              <w:right w:val="nil"/>
            </w:tcBorders>
            <w:tcMar>
              <w:top w:w="60" w:type="dxa"/>
              <w:left w:w="100" w:type="dxa"/>
              <w:bottom w:w="60" w:type="dxa"/>
              <w:right w:w="100" w:type="dxa"/>
            </w:tcMar>
          </w:tcPr>
          <w:p w14:paraId="0BD3C424" w14:textId="77777777" w:rsidR="009D2FD2" w:rsidRDefault="00000000">
            <w:pPr>
              <w:pStyle w:val="Tablacelda"/>
            </w:pPr>
            <w:r>
              <w:t>3 años (2023–2026)</w:t>
            </w:r>
          </w:p>
        </w:tc>
        <w:tc>
          <w:tcPr>
            <w:tcW w:w="1300" w:type="dxa"/>
            <w:tcBorders>
              <w:top w:val="nil"/>
              <w:left w:val="nil"/>
              <w:bottom w:val="nil"/>
              <w:right w:val="nil"/>
            </w:tcBorders>
            <w:tcMar>
              <w:top w:w="60" w:type="dxa"/>
              <w:left w:w="100" w:type="dxa"/>
              <w:bottom w:w="60" w:type="dxa"/>
              <w:right w:w="100" w:type="dxa"/>
            </w:tcMar>
          </w:tcPr>
          <w:p w14:paraId="5618492F" w14:textId="77777777" w:rsidR="009D2FD2" w:rsidRDefault="00000000">
            <w:pPr>
              <w:pStyle w:val="Tablacelda"/>
              <w:jc w:val="right"/>
            </w:pPr>
            <w:r>
              <w:t>12</w:t>
            </w:r>
          </w:p>
        </w:tc>
        <w:tc>
          <w:tcPr>
            <w:tcW w:w="1250" w:type="dxa"/>
            <w:tcBorders>
              <w:top w:val="nil"/>
              <w:left w:val="nil"/>
              <w:bottom w:val="nil"/>
              <w:right w:val="nil"/>
            </w:tcBorders>
            <w:tcMar>
              <w:top w:w="60" w:type="dxa"/>
              <w:left w:w="100" w:type="dxa"/>
              <w:bottom w:w="60" w:type="dxa"/>
              <w:right w:w="100" w:type="dxa"/>
            </w:tcMar>
          </w:tcPr>
          <w:p w14:paraId="7CBC7211" w14:textId="77777777" w:rsidR="009D2FD2" w:rsidRDefault="00000000">
            <w:pPr>
              <w:pStyle w:val="Tablacelda"/>
              <w:jc w:val="right"/>
            </w:pPr>
            <w:r>
              <w:t>−6,4 %</w:t>
            </w:r>
          </w:p>
        </w:tc>
        <w:tc>
          <w:tcPr>
            <w:tcW w:w="1450" w:type="dxa"/>
            <w:tcBorders>
              <w:top w:val="nil"/>
              <w:left w:val="nil"/>
              <w:bottom w:val="nil"/>
              <w:right w:val="nil"/>
            </w:tcBorders>
            <w:tcMar>
              <w:top w:w="60" w:type="dxa"/>
              <w:left w:w="100" w:type="dxa"/>
              <w:bottom w:w="60" w:type="dxa"/>
              <w:right w:w="100" w:type="dxa"/>
            </w:tcMar>
          </w:tcPr>
          <w:p w14:paraId="6470FD92" w14:textId="77777777" w:rsidR="009D2FD2" w:rsidRDefault="00000000">
            <w:pPr>
              <w:pStyle w:val="Tablacelda"/>
              <w:jc w:val="right"/>
            </w:pPr>
            <w:r>
              <w:t>8,5 %</w:t>
            </w:r>
          </w:p>
        </w:tc>
        <w:tc>
          <w:tcPr>
            <w:tcW w:w="1450" w:type="dxa"/>
            <w:tcBorders>
              <w:top w:val="nil"/>
              <w:left w:val="nil"/>
              <w:bottom w:val="nil"/>
              <w:right w:val="nil"/>
            </w:tcBorders>
            <w:tcMar>
              <w:top w:w="60" w:type="dxa"/>
              <w:left w:w="100" w:type="dxa"/>
              <w:bottom w:w="60" w:type="dxa"/>
              <w:right w:w="100" w:type="dxa"/>
            </w:tcMar>
          </w:tcPr>
          <w:p w14:paraId="5DBCAC91" w14:textId="77777777" w:rsidR="009D2FD2" w:rsidRDefault="00000000">
            <w:pPr>
              <w:pStyle w:val="Tablacelda"/>
              <w:jc w:val="right"/>
            </w:pPr>
            <w:r>
              <w:t>1.906</w:t>
            </w:r>
          </w:p>
        </w:tc>
        <w:tc>
          <w:tcPr>
            <w:tcW w:w="1560" w:type="dxa"/>
            <w:tcBorders>
              <w:top w:val="nil"/>
              <w:left w:val="nil"/>
              <w:bottom w:val="nil"/>
              <w:right w:val="nil"/>
            </w:tcBorders>
            <w:tcMar>
              <w:top w:w="60" w:type="dxa"/>
              <w:left w:w="100" w:type="dxa"/>
              <w:bottom w:w="60" w:type="dxa"/>
              <w:right w:w="100" w:type="dxa"/>
            </w:tcMar>
          </w:tcPr>
          <w:p w14:paraId="2A353169" w14:textId="77777777" w:rsidR="009D2FD2" w:rsidRDefault="00000000">
            <w:pPr>
              <w:pStyle w:val="Tablacelda"/>
              <w:jc w:val="right"/>
            </w:pPr>
            <w:r>
              <w:t>545,5</w:t>
            </w:r>
          </w:p>
        </w:tc>
      </w:tr>
      <w:tr w:rsidR="009D2FD2" w14:paraId="2ED20294" w14:textId="77777777">
        <w:tc>
          <w:tcPr>
            <w:tcW w:w="2350" w:type="dxa"/>
            <w:tcBorders>
              <w:top w:val="nil"/>
              <w:left w:val="nil"/>
              <w:bottom w:val="nil"/>
              <w:right w:val="nil"/>
            </w:tcBorders>
            <w:tcMar>
              <w:top w:w="60" w:type="dxa"/>
              <w:left w:w="100" w:type="dxa"/>
              <w:bottom w:w="60" w:type="dxa"/>
              <w:right w:w="100" w:type="dxa"/>
            </w:tcMar>
          </w:tcPr>
          <w:p w14:paraId="27EB8E84" w14:textId="77777777" w:rsidR="009D2FD2" w:rsidRDefault="00000000">
            <w:pPr>
              <w:pStyle w:val="Tablacelda"/>
            </w:pPr>
            <w:r>
              <w:t>5 años (2021–2026)</w:t>
            </w:r>
          </w:p>
        </w:tc>
        <w:tc>
          <w:tcPr>
            <w:tcW w:w="1300" w:type="dxa"/>
            <w:tcBorders>
              <w:top w:val="nil"/>
              <w:left w:val="nil"/>
              <w:bottom w:val="nil"/>
              <w:right w:val="nil"/>
            </w:tcBorders>
            <w:tcMar>
              <w:top w:w="60" w:type="dxa"/>
              <w:left w:w="100" w:type="dxa"/>
              <w:bottom w:w="60" w:type="dxa"/>
              <w:right w:w="100" w:type="dxa"/>
            </w:tcMar>
          </w:tcPr>
          <w:p w14:paraId="12C73732" w14:textId="77777777" w:rsidR="009D2FD2" w:rsidRDefault="00000000">
            <w:pPr>
              <w:pStyle w:val="Tablacelda"/>
              <w:jc w:val="right"/>
            </w:pPr>
            <w:r>
              <w:t>20</w:t>
            </w:r>
          </w:p>
        </w:tc>
        <w:tc>
          <w:tcPr>
            <w:tcW w:w="1250" w:type="dxa"/>
            <w:tcBorders>
              <w:top w:val="nil"/>
              <w:left w:val="nil"/>
              <w:bottom w:val="nil"/>
              <w:right w:val="nil"/>
            </w:tcBorders>
            <w:tcMar>
              <w:top w:w="60" w:type="dxa"/>
              <w:left w:w="100" w:type="dxa"/>
              <w:bottom w:w="60" w:type="dxa"/>
              <w:right w:w="100" w:type="dxa"/>
            </w:tcMar>
          </w:tcPr>
          <w:p w14:paraId="7F9D3973" w14:textId="77777777" w:rsidR="009D2FD2" w:rsidRDefault="00000000">
            <w:pPr>
              <w:pStyle w:val="Tablacelda"/>
              <w:jc w:val="right"/>
            </w:pPr>
            <w:r>
              <w:t>−2,6 %</w:t>
            </w:r>
          </w:p>
        </w:tc>
        <w:tc>
          <w:tcPr>
            <w:tcW w:w="1450" w:type="dxa"/>
            <w:tcBorders>
              <w:top w:val="nil"/>
              <w:left w:val="nil"/>
              <w:bottom w:val="nil"/>
              <w:right w:val="nil"/>
            </w:tcBorders>
            <w:tcMar>
              <w:top w:w="60" w:type="dxa"/>
              <w:left w:w="100" w:type="dxa"/>
              <w:bottom w:w="60" w:type="dxa"/>
              <w:right w:w="100" w:type="dxa"/>
            </w:tcMar>
          </w:tcPr>
          <w:p w14:paraId="4DB1EB22" w14:textId="77777777" w:rsidR="009D2FD2" w:rsidRDefault="00000000">
            <w:pPr>
              <w:pStyle w:val="Tablacelda"/>
              <w:jc w:val="right"/>
            </w:pPr>
            <w:r>
              <w:t>11,4 %</w:t>
            </w:r>
          </w:p>
        </w:tc>
        <w:tc>
          <w:tcPr>
            <w:tcW w:w="1450" w:type="dxa"/>
            <w:tcBorders>
              <w:top w:val="nil"/>
              <w:left w:val="nil"/>
              <w:bottom w:val="nil"/>
              <w:right w:val="nil"/>
            </w:tcBorders>
            <w:tcMar>
              <w:top w:w="60" w:type="dxa"/>
              <w:left w:w="100" w:type="dxa"/>
              <w:bottom w:w="60" w:type="dxa"/>
              <w:right w:w="100" w:type="dxa"/>
            </w:tcMar>
          </w:tcPr>
          <w:p w14:paraId="3D966905" w14:textId="77777777" w:rsidR="009D2FD2" w:rsidRDefault="00000000">
            <w:pPr>
              <w:pStyle w:val="Tablacelda"/>
              <w:jc w:val="right"/>
            </w:pPr>
            <w:r>
              <w:t>2.680</w:t>
            </w:r>
          </w:p>
        </w:tc>
        <w:tc>
          <w:tcPr>
            <w:tcW w:w="1560" w:type="dxa"/>
            <w:tcBorders>
              <w:top w:val="nil"/>
              <w:left w:val="nil"/>
              <w:bottom w:val="nil"/>
              <w:right w:val="nil"/>
            </w:tcBorders>
            <w:tcMar>
              <w:top w:w="60" w:type="dxa"/>
              <w:left w:w="100" w:type="dxa"/>
              <w:bottom w:w="60" w:type="dxa"/>
              <w:right w:w="100" w:type="dxa"/>
            </w:tcMar>
          </w:tcPr>
          <w:p w14:paraId="4E47AD59" w14:textId="77777777" w:rsidR="009D2FD2" w:rsidRDefault="00000000">
            <w:pPr>
              <w:pStyle w:val="Tablacelda"/>
              <w:jc w:val="right"/>
            </w:pPr>
            <w:r>
              <w:t>638,3</w:t>
            </w:r>
          </w:p>
        </w:tc>
      </w:tr>
      <w:tr w:rsidR="009D2FD2" w14:paraId="56A1D099" w14:textId="77777777">
        <w:tc>
          <w:tcPr>
            <w:tcW w:w="2350" w:type="dxa"/>
            <w:tcBorders>
              <w:top w:val="nil"/>
              <w:left w:val="nil"/>
              <w:bottom w:val="nil"/>
              <w:right w:val="nil"/>
            </w:tcBorders>
            <w:tcMar>
              <w:top w:w="60" w:type="dxa"/>
              <w:left w:w="100" w:type="dxa"/>
              <w:bottom w:w="60" w:type="dxa"/>
              <w:right w:w="100" w:type="dxa"/>
            </w:tcMar>
          </w:tcPr>
          <w:p w14:paraId="49B9BA09" w14:textId="77777777" w:rsidR="009D2FD2" w:rsidRDefault="00000000">
            <w:pPr>
              <w:pStyle w:val="Tablacelda"/>
            </w:pPr>
            <w:r>
              <w:t>10 años (2016–2026)</w:t>
            </w:r>
          </w:p>
        </w:tc>
        <w:tc>
          <w:tcPr>
            <w:tcW w:w="1300" w:type="dxa"/>
            <w:tcBorders>
              <w:top w:val="nil"/>
              <w:left w:val="nil"/>
              <w:bottom w:val="nil"/>
              <w:right w:val="nil"/>
            </w:tcBorders>
            <w:tcMar>
              <w:top w:w="60" w:type="dxa"/>
              <w:left w:w="100" w:type="dxa"/>
              <w:bottom w:w="60" w:type="dxa"/>
              <w:right w:w="100" w:type="dxa"/>
            </w:tcMar>
          </w:tcPr>
          <w:p w14:paraId="7522D60A" w14:textId="77777777" w:rsidR="009D2FD2" w:rsidRDefault="00000000">
            <w:pPr>
              <w:pStyle w:val="Tablacelda"/>
              <w:jc w:val="right"/>
            </w:pPr>
            <w:r>
              <w:t>40</w:t>
            </w:r>
          </w:p>
        </w:tc>
        <w:tc>
          <w:tcPr>
            <w:tcW w:w="1250" w:type="dxa"/>
            <w:tcBorders>
              <w:top w:val="nil"/>
              <w:left w:val="nil"/>
              <w:bottom w:val="nil"/>
              <w:right w:val="nil"/>
            </w:tcBorders>
            <w:tcMar>
              <w:top w:w="60" w:type="dxa"/>
              <w:left w:w="100" w:type="dxa"/>
              <w:bottom w:w="60" w:type="dxa"/>
              <w:right w:w="100" w:type="dxa"/>
            </w:tcMar>
          </w:tcPr>
          <w:p w14:paraId="547A379D" w14:textId="77777777" w:rsidR="009D2FD2" w:rsidRDefault="00000000">
            <w:pPr>
              <w:pStyle w:val="Tablacelda"/>
              <w:jc w:val="right"/>
            </w:pPr>
            <w:r>
              <w:t>1,5 %</w:t>
            </w:r>
          </w:p>
        </w:tc>
        <w:tc>
          <w:tcPr>
            <w:tcW w:w="1450" w:type="dxa"/>
            <w:tcBorders>
              <w:top w:val="nil"/>
              <w:left w:val="nil"/>
              <w:bottom w:val="nil"/>
              <w:right w:val="nil"/>
            </w:tcBorders>
            <w:tcMar>
              <w:top w:w="60" w:type="dxa"/>
              <w:left w:w="100" w:type="dxa"/>
              <w:bottom w:w="60" w:type="dxa"/>
              <w:right w:w="100" w:type="dxa"/>
            </w:tcMar>
          </w:tcPr>
          <w:p w14:paraId="6FB47725" w14:textId="77777777" w:rsidR="009D2FD2" w:rsidRDefault="00000000">
            <w:pPr>
              <w:pStyle w:val="Tablacelda"/>
              <w:jc w:val="right"/>
            </w:pPr>
            <w:r>
              <w:t>13,2 %</w:t>
            </w:r>
          </w:p>
        </w:tc>
        <w:tc>
          <w:tcPr>
            <w:tcW w:w="1450" w:type="dxa"/>
            <w:tcBorders>
              <w:top w:val="nil"/>
              <w:left w:val="nil"/>
              <w:bottom w:val="nil"/>
              <w:right w:val="nil"/>
            </w:tcBorders>
            <w:tcMar>
              <w:top w:w="60" w:type="dxa"/>
              <w:left w:w="100" w:type="dxa"/>
              <w:bottom w:w="60" w:type="dxa"/>
              <w:right w:w="100" w:type="dxa"/>
            </w:tcMar>
          </w:tcPr>
          <w:p w14:paraId="794BC2F8" w14:textId="77777777" w:rsidR="009D2FD2" w:rsidRDefault="00000000">
            <w:pPr>
              <w:pStyle w:val="Tablacelda"/>
              <w:jc w:val="right"/>
            </w:pPr>
            <w:r>
              <w:t>3.877</w:t>
            </w:r>
          </w:p>
        </w:tc>
        <w:tc>
          <w:tcPr>
            <w:tcW w:w="1560" w:type="dxa"/>
            <w:tcBorders>
              <w:top w:val="nil"/>
              <w:left w:val="nil"/>
              <w:bottom w:val="nil"/>
              <w:right w:val="nil"/>
            </w:tcBorders>
            <w:tcMar>
              <w:top w:w="60" w:type="dxa"/>
              <w:left w:w="100" w:type="dxa"/>
              <w:bottom w:w="60" w:type="dxa"/>
              <w:right w:w="100" w:type="dxa"/>
            </w:tcMar>
          </w:tcPr>
          <w:p w14:paraId="6A83A019" w14:textId="77777777" w:rsidR="009D2FD2" w:rsidRDefault="00000000">
            <w:pPr>
              <w:pStyle w:val="Tablacelda"/>
              <w:jc w:val="right"/>
            </w:pPr>
            <w:r>
              <w:t>765,0</w:t>
            </w:r>
          </w:p>
        </w:tc>
      </w:tr>
      <w:tr w:rsidR="009D2FD2" w14:paraId="34E50A5C" w14:textId="77777777">
        <w:tc>
          <w:tcPr>
            <w:tcW w:w="2350" w:type="dxa"/>
            <w:tcBorders>
              <w:top w:val="nil"/>
              <w:left w:val="nil"/>
              <w:bottom w:val="nil"/>
              <w:right w:val="nil"/>
            </w:tcBorders>
            <w:tcMar>
              <w:top w:w="60" w:type="dxa"/>
              <w:left w:w="100" w:type="dxa"/>
              <w:bottom w:w="60" w:type="dxa"/>
              <w:right w:w="100" w:type="dxa"/>
            </w:tcMar>
          </w:tcPr>
          <w:p w14:paraId="18CC5E8B" w14:textId="77777777" w:rsidR="009D2FD2" w:rsidRDefault="00000000">
            <w:pPr>
              <w:pStyle w:val="Tablacelda"/>
            </w:pPr>
            <w:r>
              <w:t>20 años (2006–2026)</w:t>
            </w:r>
          </w:p>
        </w:tc>
        <w:tc>
          <w:tcPr>
            <w:tcW w:w="1300" w:type="dxa"/>
            <w:tcBorders>
              <w:top w:val="nil"/>
              <w:left w:val="nil"/>
              <w:bottom w:val="nil"/>
              <w:right w:val="nil"/>
            </w:tcBorders>
            <w:tcMar>
              <w:top w:w="60" w:type="dxa"/>
              <w:left w:w="100" w:type="dxa"/>
              <w:bottom w:w="60" w:type="dxa"/>
              <w:right w:w="100" w:type="dxa"/>
            </w:tcMar>
          </w:tcPr>
          <w:p w14:paraId="7353AF9E" w14:textId="77777777" w:rsidR="009D2FD2" w:rsidRDefault="00000000">
            <w:pPr>
              <w:pStyle w:val="Tablacelda"/>
              <w:jc w:val="right"/>
            </w:pPr>
            <w:r>
              <w:t>80</w:t>
            </w:r>
          </w:p>
        </w:tc>
        <w:tc>
          <w:tcPr>
            <w:tcW w:w="1250" w:type="dxa"/>
            <w:tcBorders>
              <w:top w:val="nil"/>
              <w:left w:val="nil"/>
              <w:bottom w:val="nil"/>
              <w:right w:val="nil"/>
            </w:tcBorders>
            <w:tcMar>
              <w:top w:w="60" w:type="dxa"/>
              <w:left w:w="100" w:type="dxa"/>
              <w:bottom w:w="60" w:type="dxa"/>
              <w:right w:w="100" w:type="dxa"/>
            </w:tcMar>
          </w:tcPr>
          <w:p w14:paraId="6C853848" w14:textId="77777777" w:rsidR="009D2FD2" w:rsidRDefault="00000000">
            <w:pPr>
              <w:pStyle w:val="Tablacelda"/>
              <w:jc w:val="right"/>
            </w:pPr>
            <w:r>
              <w:t>1,7 %</w:t>
            </w:r>
          </w:p>
        </w:tc>
        <w:tc>
          <w:tcPr>
            <w:tcW w:w="1450" w:type="dxa"/>
            <w:tcBorders>
              <w:top w:val="nil"/>
              <w:left w:val="nil"/>
              <w:bottom w:val="nil"/>
              <w:right w:val="nil"/>
            </w:tcBorders>
            <w:tcMar>
              <w:top w:w="60" w:type="dxa"/>
              <w:left w:w="100" w:type="dxa"/>
              <w:bottom w:w="60" w:type="dxa"/>
              <w:right w:w="100" w:type="dxa"/>
            </w:tcMar>
          </w:tcPr>
          <w:p w14:paraId="4DCD13F9" w14:textId="77777777" w:rsidR="009D2FD2" w:rsidRDefault="00000000">
            <w:pPr>
              <w:pStyle w:val="Tablacelda"/>
              <w:jc w:val="right"/>
            </w:pPr>
            <w:r>
              <w:t>13,9 %</w:t>
            </w:r>
          </w:p>
        </w:tc>
        <w:tc>
          <w:tcPr>
            <w:tcW w:w="1450" w:type="dxa"/>
            <w:tcBorders>
              <w:top w:val="nil"/>
              <w:left w:val="nil"/>
              <w:bottom w:val="nil"/>
              <w:right w:val="nil"/>
            </w:tcBorders>
            <w:tcMar>
              <w:top w:w="60" w:type="dxa"/>
              <w:left w:w="100" w:type="dxa"/>
              <w:bottom w:w="60" w:type="dxa"/>
              <w:right w:w="100" w:type="dxa"/>
            </w:tcMar>
          </w:tcPr>
          <w:p w14:paraId="4F840E00" w14:textId="77777777" w:rsidR="009D2FD2" w:rsidRDefault="00000000">
            <w:pPr>
              <w:pStyle w:val="Tablacelda"/>
              <w:jc w:val="right"/>
            </w:pPr>
            <w:r>
              <w:t>3.938</w:t>
            </w:r>
          </w:p>
        </w:tc>
        <w:tc>
          <w:tcPr>
            <w:tcW w:w="1560" w:type="dxa"/>
            <w:tcBorders>
              <w:top w:val="nil"/>
              <w:left w:val="nil"/>
              <w:bottom w:val="nil"/>
              <w:right w:val="nil"/>
            </w:tcBorders>
            <w:tcMar>
              <w:top w:w="60" w:type="dxa"/>
              <w:left w:w="100" w:type="dxa"/>
              <w:bottom w:w="60" w:type="dxa"/>
              <w:right w:w="100" w:type="dxa"/>
            </w:tcMar>
          </w:tcPr>
          <w:p w14:paraId="1819E7F9" w14:textId="77777777" w:rsidR="009D2FD2" w:rsidRDefault="00000000">
            <w:pPr>
              <w:pStyle w:val="Tablacelda"/>
              <w:jc w:val="right"/>
            </w:pPr>
            <w:r>
              <w:t>774,4</w:t>
            </w:r>
          </w:p>
        </w:tc>
      </w:tr>
      <w:tr w:rsidR="009D2FD2" w14:paraId="6BF56245" w14:textId="77777777">
        <w:tc>
          <w:tcPr>
            <w:tcW w:w="2350" w:type="dxa"/>
            <w:tcBorders>
              <w:top w:val="nil"/>
              <w:left w:val="nil"/>
              <w:bottom w:val="nil"/>
              <w:right w:val="nil"/>
            </w:tcBorders>
            <w:shd w:val="clear" w:color="auto" w:fill="E2EFDA"/>
            <w:tcMar>
              <w:top w:w="60" w:type="dxa"/>
              <w:left w:w="100" w:type="dxa"/>
              <w:bottom w:w="60" w:type="dxa"/>
              <w:right w:w="100" w:type="dxa"/>
            </w:tcMar>
          </w:tcPr>
          <w:p w14:paraId="51CB2929" w14:textId="77777777" w:rsidR="009D2FD2" w:rsidRDefault="00000000">
            <w:pPr>
              <w:pStyle w:val="Tablacelda"/>
            </w:pPr>
            <w:r>
              <w:t>Flotación libre (1999–2026)</w:t>
            </w:r>
          </w:p>
        </w:tc>
        <w:tc>
          <w:tcPr>
            <w:tcW w:w="1300" w:type="dxa"/>
            <w:tcBorders>
              <w:top w:val="nil"/>
              <w:left w:val="nil"/>
              <w:bottom w:val="nil"/>
              <w:right w:val="nil"/>
            </w:tcBorders>
            <w:shd w:val="clear" w:color="auto" w:fill="E2EFDA"/>
            <w:tcMar>
              <w:top w:w="60" w:type="dxa"/>
              <w:left w:w="100" w:type="dxa"/>
              <w:bottom w:w="60" w:type="dxa"/>
              <w:right w:w="100" w:type="dxa"/>
            </w:tcMar>
          </w:tcPr>
          <w:p w14:paraId="79F6FD81" w14:textId="77777777" w:rsidR="009D2FD2" w:rsidRDefault="00000000">
            <w:pPr>
              <w:pStyle w:val="Tablacelda"/>
              <w:jc w:val="right"/>
            </w:pPr>
            <w:r>
              <w:t>108</w:t>
            </w:r>
          </w:p>
        </w:tc>
        <w:tc>
          <w:tcPr>
            <w:tcW w:w="1250" w:type="dxa"/>
            <w:tcBorders>
              <w:top w:val="nil"/>
              <w:left w:val="nil"/>
              <w:bottom w:val="nil"/>
              <w:right w:val="nil"/>
            </w:tcBorders>
            <w:shd w:val="clear" w:color="auto" w:fill="E2EFDA"/>
            <w:tcMar>
              <w:top w:w="60" w:type="dxa"/>
              <w:left w:w="100" w:type="dxa"/>
              <w:bottom w:w="60" w:type="dxa"/>
              <w:right w:w="100" w:type="dxa"/>
            </w:tcMar>
          </w:tcPr>
          <w:p w14:paraId="1368487C" w14:textId="77777777" w:rsidR="009D2FD2" w:rsidRDefault="00000000">
            <w:pPr>
              <w:pStyle w:val="Tablacelda"/>
              <w:jc w:val="right"/>
            </w:pPr>
            <w:r>
              <w:t>1,9 %</w:t>
            </w:r>
          </w:p>
        </w:tc>
        <w:tc>
          <w:tcPr>
            <w:tcW w:w="1450" w:type="dxa"/>
            <w:tcBorders>
              <w:top w:val="nil"/>
              <w:left w:val="nil"/>
              <w:bottom w:val="nil"/>
              <w:right w:val="nil"/>
            </w:tcBorders>
            <w:shd w:val="clear" w:color="auto" w:fill="E2EFDA"/>
            <w:tcMar>
              <w:top w:w="60" w:type="dxa"/>
              <w:left w:w="100" w:type="dxa"/>
              <w:bottom w:w="60" w:type="dxa"/>
              <w:right w:w="100" w:type="dxa"/>
            </w:tcMar>
          </w:tcPr>
          <w:p w14:paraId="22B17206" w14:textId="77777777" w:rsidR="009D2FD2" w:rsidRDefault="00000000">
            <w:pPr>
              <w:pStyle w:val="Tablacelda"/>
              <w:jc w:val="right"/>
            </w:pPr>
            <w:r>
              <w:t>13,1 %</w:t>
            </w:r>
          </w:p>
        </w:tc>
        <w:tc>
          <w:tcPr>
            <w:tcW w:w="1450" w:type="dxa"/>
            <w:tcBorders>
              <w:top w:val="nil"/>
              <w:left w:val="nil"/>
              <w:bottom w:val="nil"/>
              <w:right w:val="nil"/>
            </w:tcBorders>
            <w:shd w:val="clear" w:color="auto" w:fill="E2EFDA"/>
            <w:tcMar>
              <w:top w:w="60" w:type="dxa"/>
              <w:left w:w="100" w:type="dxa"/>
              <w:bottom w:w="60" w:type="dxa"/>
              <w:right w:w="100" w:type="dxa"/>
            </w:tcMar>
          </w:tcPr>
          <w:p w14:paraId="0C7013C5" w14:textId="77777777" w:rsidR="009D2FD2" w:rsidRDefault="00000000">
            <w:pPr>
              <w:pStyle w:val="Tablacelda"/>
              <w:jc w:val="right"/>
            </w:pPr>
            <w:r>
              <w:t>4.017</w:t>
            </w:r>
          </w:p>
        </w:tc>
        <w:tc>
          <w:tcPr>
            <w:tcW w:w="1560" w:type="dxa"/>
            <w:tcBorders>
              <w:top w:val="nil"/>
              <w:left w:val="nil"/>
              <w:bottom w:val="nil"/>
              <w:right w:val="nil"/>
            </w:tcBorders>
            <w:shd w:val="clear" w:color="auto" w:fill="E2EFDA"/>
            <w:tcMar>
              <w:top w:w="60" w:type="dxa"/>
              <w:left w:w="100" w:type="dxa"/>
              <w:bottom w:w="60" w:type="dxa"/>
              <w:right w:w="100" w:type="dxa"/>
            </w:tcMar>
          </w:tcPr>
          <w:p w14:paraId="42B319E6" w14:textId="77777777" w:rsidR="009D2FD2" w:rsidRDefault="00000000">
            <w:pPr>
              <w:pStyle w:val="Tablacelda"/>
              <w:jc w:val="right"/>
            </w:pPr>
            <w:r>
              <w:t>778,3</w:t>
            </w:r>
          </w:p>
        </w:tc>
      </w:tr>
      <w:tr w:rsidR="009D2FD2" w14:paraId="7DD13AF8" w14:textId="77777777">
        <w:tc>
          <w:tcPr>
            <w:tcW w:w="2350" w:type="dxa"/>
            <w:tcBorders>
              <w:top w:val="nil"/>
              <w:left w:val="nil"/>
              <w:bottom w:val="single" w:sz="8" w:space="0" w:color="000000"/>
              <w:right w:val="nil"/>
            </w:tcBorders>
            <w:tcMar>
              <w:top w:w="60" w:type="dxa"/>
              <w:left w:w="100" w:type="dxa"/>
              <w:bottom w:w="60" w:type="dxa"/>
              <w:right w:w="100" w:type="dxa"/>
            </w:tcMar>
          </w:tcPr>
          <w:p w14:paraId="3FC7E97A" w14:textId="77777777" w:rsidR="009D2FD2" w:rsidRDefault="00000000">
            <w:pPr>
              <w:pStyle w:val="Tablacelda"/>
            </w:pPr>
            <w:r>
              <w:t>Serie completa (1993–2026)</w:t>
            </w:r>
          </w:p>
        </w:tc>
        <w:tc>
          <w:tcPr>
            <w:tcW w:w="1300" w:type="dxa"/>
            <w:tcBorders>
              <w:top w:val="nil"/>
              <w:left w:val="nil"/>
              <w:bottom w:val="single" w:sz="8" w:space="0" w:color="000000"/>
              <w:right w:val="nil"/>
            </w:tcBorders>
            <w:tcMar>
              <w:top w:w="60" w:type="dxa"/>
              <w:left w:w="100" w:type="dxa"/>
              <w:bottom w:w="60" w:type="dxa"/>
              <w:right w:w="100" w:type="dxa"/>
            </w:tcMar>
          </w:tcPr>
          <w:p w14:paraId="7354C343" w14:textId="77777777" w:rsidR="009D2FD2" w:rsidRDefault="00000000">
            <w:pPr>
              <w:pStyle w:val="Tablacelda"/>
              <w:jc w:val="right"/>
            </w:pPr>
            <w:r>
              <w:t>134</w:t>
            </w:r>
          </w:p>
        </w:tc>
        <w:tc>
          <w:tcPr>
            <w:tcW w:w="1250" w:type="dxa"/>
            <w:tcBorders>
              <w:top w:val="nil"/>
              <w:left w:val="nil"/>
              <w:bottom w:val="single" w:sz="8" w:space="0" w:color="000000"/>
              <w:right w:val="nil"/>
            </w:tcBorders>
            <w:tcMar>
              <w:top w:w="60" w:type="dxa"/>
              <w:left w:w="100" w:type="dxa"/>
              <w:bottom w:w="60" w:type="dxa"/>
              <w:right w:w="100" w:type="dxa"/>
            </w:tcMar>
          </w:tcPr>
          <w:p w14:paraId="15D3C84B" w14:textId="77777777" w:rsidR="009D2FD2" w:rsidRDefault="00000000">
            <w:pPr>
              <w:pStyle w:val="Tablacelda"/>
              <w:jc w:val="right"/>
            </w:pPr>
            <w:r>
              <w:t>4,4 %</w:t>
            </w:r>
          </w:p>
        </w:tc>
        <w:tc>
          <w:tcPr>
            <w:tcW w:w="1450" w:type="dxa"/>
            <w:tcBorders>
              <w:top w:val="nil"/>
              <w:left w:val="nil"/>
              <w:bottom w:val="single" w:sz="8" w:space="0" w:color="000000"/>
              <w:right w:val="nil"/>
            </w:tcBorders>
            <w:tcMar>
              <w:top w:w="60" w:type="dxa"/>
              <w:left w:w="100" w:type="dxa"/>
              <w:bottom w:w="60" w:type="dxa"/>
              <w:right w:w="100" w:type="dxa"/>
            </w:tcMar>
          </w:tcPr>
          <w:p w14:paraId="78B7AEE6" w14:textId="77777777" w:rsidR="009D2FD2" w:rsidRDefault="00000000">
            <w:pPr>
              <w:pStyle w:val="Tablacelda"/>
              <w:jc w:val="right"/>
            </w:pPr>
            <w:r>
              <w:t>12,9 %</w:t>
            </w:r>
          </w:p>
        </w:tc>
        <w:tc>
          <w:tcPr>
            <w:tcW w:w="1450" w:type="dxa"/>
            <w:tcBorders>
              <w:top w:val="nil"/>
              <w:left w:val="nil"/>
              <w:bottom w:val="single" w:sz="8" w:space="0" w:color="000000"/>
              <w:right w:val="nil"/>
            </w:tcBorders>
            <w:tcMar>
              <w:top w:w="60" w:type="dxa"/>
              <w:left w:w="100" w:type="dxa"/>
              <w:bottom w:w="60" w:type="dxa"/>
              <w:right w:w="100" w:type="dxa"/>
            </w:tcMar>
          </w:tcPr>
          <w:p w14:paraId="39BD9C99" w14:textId="77777777" w:rsidR="009D2FD2" w:rsidRDefault="00000000">
            <w:pPr>
              <w:pStyle w:val="Tablacelda"/>
              <w:jc w:val="right"/>
            </w:pPr>
            <w:r>
              <w:t>5.031</w:t>
            </w:r>
          </w:p>
        </w:tc>
        <w:tc>
          <w:tcPr>
            <w:tcW w:w="1560" w:type="dxa"/>
            <w:tcBorders>
              <w:top w:val="nil"/>
              <w:left w:val="nil"/>
              <w:bottom w:val="single" w:sz="8" w:space="0" w:color="000000"/>
              <w:right w:val="nil"/>
            </w:tcBorders>
            <w:tcMar>
              <w:top w:w="60" w:type="dxa"/>
              <w:left w:w="100" w:type="dxa"/>
              <w:bottom w:w="60" w:type="dxa"/>
              <w:right w:w="100" w:type="dxa"/>
            </w:tcMar>
          </w:tcPr>
          <w:p w14:paraId="3A2D7AEA" w14:textId="77777777" w:rsidR="009D2FD2" w:rsidRDefault="00000000">
            <w:pPr>
              <w:pStyle w:val="Tablacelda"/>
              <w:jc w:val="right"/>
            </w:pPr>
            <w:r>
              <w:t>869,3</w:t>
            </w:r>
          </w:p>
        </w:tc>
      </w:tr>
    </w:tbl>
    <w:p w14:paraId="5ED045BC" w14:textId="77777777" w:rsidR="009D2FD2" w:rsidRDefault="009D2FD2">
      <w:pPr>
        <w:spacing w:after="60"/>
      </w:pPr>
    </w:p>
    <w:p w14:paraId="7710310F" w14:textId="77777777" w:rsidR="009D2FD2" w:rsidRDefault="00000000">
      <w:r>
        <w:t>Las ventanas de tiempo cortas reflejan mejor el momento actual (tasas altas y menor prima de riesgo), pero tienen muy pocos datos y capturan una racha de apreciación del peso que, proyectada a diez años, lleva el dólar a más o menos $1.900, un resultado poco creíble y contrario al análisis fundamental anteriormente hecho. La serie completa tiene el menor error, pero incluye la banda cambiaria y la inflación de 20 %–30 % de los años noventa, que inflan la deriva a 4,4 % y ya no representan la economía actual. Las ventanas de 10, 20 y 27 años dan resultados muy parecidos entre sí.</w:t>
      </w:r>
    </w:p>
    <w:p w14:paraId="4336FEA4" w14:textId="77777777" w:rsidR="009D2FD2" w:rsidRDefault="00000000">
      <w:r>
        <w:t xml:space="preserve">Por eso se elige la ventana de flotación libre (octubre de 1999 a septiembre de 2026): es la más larga dentro del mismo régimen cambiario (tasa de cambio flexible y metas de inflación), su deriva de 1,9 % anual es cercana al diferencial de inflación esperado a largo plazo entre los dos países y su volatilidad de 13,1 % coincide con la de las ventanas de 10 y 20 años, lo que sugiere que este parámetro es estable. </w:t>
      </w:r>
    </w:p>
    <w:p w14:paraId="2FD3AC86" w14:textId="77777777" w:rsidR="00D20524" w:rsidRDefault="00000000">
      <w:pPr>
        <w:pStyle w:val="Rtulotablaofigura"/>
      </w:pPr>
      <w:r>
        <w:rPr>
          <w:b/>
          <w:bCs/>
        </w:rPr>
        <w:lastRenderedPageBreak/>
        <w:t>Figura 1</w:t>
      </w:r>
    </w:p>
    <w:p w14:paraId="668E6D70" w14:textId="77777777" w:rsidR="00D20524" w:rsidRDefault="00000000">
      <w:pPr>
        <w:pStyle w:val="Ttulotablaofigura"/>
      </w:pPr>
      <w:r>
        <w:t>Trayectorias de la TRM y cuota trimestral del crédito en pesos</w:t>
      </w:r>
    </w:p>
    <w:p w14:paraId="01095CF3" w14:textId="77777777" w:rsidR="009D2FD2" w:rsidRDefault="00000000">
      <w:pPr>
        <w:keepNext/>
        <w:spacing w:line="240" w:lineRule="auto"/>
        <w:ind w:firstLine="0"/>
        <w:jc w:val="center"/>
      </w:pPr>
      <w:r>
        <w:rPr>
          <w:noProof/>
        </w:rPr>
        <w:drawing>
          <wp:inline distT="0" distB="0" distL="0" distR="0" wp14:anchorId="0563351F" wp14:editId="49F99FCE">
            <wp:extent cx="5905500" cy="224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2247900"/>
                    </a:xfrm>
                    <a:prstGeom prst="rect">
                      <a:avLst/>
                    </a:prstGeom>
                  </pic:spPr>
                </pic:pic>
              </a:graphicData>
            </a:graphic>
          </wp:inline>
        </w:drawing>
      </w:r>
    </w:p>
    <w:p w14:paraId="5F3F8209" w14:textId="77777777" w:rsidR="00D20524" w:rsidRDefault="00000000">
      <w:pPr>
        <w:pStyle w:val="Nota"/>
      </w:pPr>
      <w:r>
        <w:rPr>
          <w:i/>
          <w:iCs/>
        </w:rPr>
        <w:t xml:space="preserve">Nota. </w:t>
      </w:r>
      <w:r>
        <w:t>Las bandas corresponden a percentiles de 20.000 simulaciones. Fuente: elaboración propia con simulacion_trm.py.</w:t>
      </w:r>
    </w:p>
    <w:p w14:paraId="226C701C" w14:textId="77777777" w:rsidR="009D2FD2" w:rsidRDefault="00000000">
      <w:pPr>
        <w:pStyle w:val="TtuloAPAnivel2"/>
      </w:pPr>
      <w:r>
        <w:t>Resultados con las trayectorias proyectadas</w:t>
      </w:r>
    </w:p>
    <w:p w14:paraId="3515A323" w14:textId="77777777" w:rsidR="00D20524" w:rsidRDefault="00000000">
      <w:pPr>
        <w:pStyle w:val="Rtulotablaofigura"/>
      </w:pPr>
      <w:r>
        <w:rPr>
          <w:b/>
          <w:bCs/>
        </w:rPr>
        <w:t>Tabla 9</w:t>
      </w:r>
    </w:p>
    <w:p w14:paraId="1A203BB3" w14:textId="77777777" w:rsidR="00D20524" w:rsidRDefault="00000000">
      <w:pPr>
        <w:pStyle w:val="Ttulotablaofigura"/>
      </w:pPr>
      <w:r>
        <w:t>Costo del crédito en pesos según la trayectoria de la TRM</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400"/>
        <w:gridCol w:w="2000"/>
        <w:gridCol w:w="1800"/>
        <w:gridCol w:w="2160"/>
      </w:tblGrid>
      <w:tr w:rsidR="009D2FD2" w14:paraId="765AA141" w14:textId="77777777">
        <w:trPr>
          <w:tblHeader/>
        </w:trPr>
        <w:tc>
          <w:tcPr>
            <w:tcW w:w="3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19F0E87" w14:textId="77777777" w:rsidR="009D2FD2" w:rsidRDefault="00000000">
            <w:pPr>
              <w:pStyle w:val="Tablacelda"/>
            </w:pPr>
            <w:r>
              <w:rPr>
                <w:b/>
                <w:bCs/>
              </w:rPr>
              <w:t>Trayectoria de la TRM</w:t>
            </w:r>
          </w:p>
        </w:tc>
        <w:tc>
          <w:tcPr>
            <w:tcW w:w="20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DFD3C57" w14:textId="77777777" w:rsidR="009D2FD2" w:rsidRDefault="00C22745">
            <w:pPr>
              <w:pStyle w:val="Tablacelda"/>
              <w:jc w:val="right"/>
            </w:pPr>
            <w:r>
              <w:rPr>
                <w:b/>
                <w:bCs/>
              </w:rPr>
              <w:t>Total, pagado (COP millones)</w:t>
            </w:r>
          </w:p>
        </w:tc>
        <w:tc>
          <w:tcPr>
            <w:tcW w:w="18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700B3A3" w14:textId="77777777" w:rsidR="009D2FD2" w:rsidRDefault="00000000">
            <w:pPr>
              <w:pStyle w:val="Tablacelda"/>
              <w:jc w:val="right"/>
            </w:pPr>
            <w:r>
              <w:rPr>
                <w:b/>
                <w:bCs/>
              </w:rPr>
              <w:t>Diferencia vs. spot</w:t>
            </w:r>
          </w:p>
        </w:tc>
        <w:tc>
          <w:tcPr>
            <w:tcW w:w="21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0F872D9" w14:textId="77777777" w:rsidR="009D2FD2" w:rsidRDefault="00000000">
            <w:pPr>
              <w:pStyle w:val="Tablacelda"/>
              <w:jc w:val="right"/>
            </w:pPr>
            <w:r>
              <w:rPr>
                <w:b/>
                <w:bCs/>
              </w:rPr>
              <w:t>Costo efectivo anual en COP</w:t>
            </w:r>
          </w:p>
        </w:tc>
      </w:tr>
      <w:tr w:rsidR="009D2FD2" w14:paraId="69909373" w14:textId="77777777">
        <w:tc>
          <w:tcPr>
            <w:tcW w:w="3400" w:type="dxa"/>
            <w:tcBorders>
              <w:top w:val="nil"/>
              <w:left w:val="nil"/>
              <w:bottom w:val="nil"/>
              <w:right w:val="nil"/>
            </w:tcBorders>
            <w:tcMar>
              <w:top w:w="60" w:type="dxa"/>
              <w:left w:w="100" w:type="dxa"/>
              <w:bottom w:w="60" w:type="dxa"/>
              <w:right w:w="100" w:type="dxa"/>
            </w:tcMar>
          </w:tcPr>
          <w:p w14:paraId="0DE9442F" w14:textId="77777777" w:rsidR="009D2FD2" w:rsidRDefault="00000000">
            <w:pPr>
              <w:pStyle w:val="Tablacelda"/>
            </w:pPr>
            <w:r>
              <w:t>TRM spot constante</w:t>
            </w:r>
          </w:p>
        </w:tc>
        <w:tc>
          <w:tcPr>
            <w:tcW w:w="2000" w:type="dxa"/>
            <w:tcBorders>
              <w:top w:val="nil"/>
              <w:left w:val="nil"/>
              <w:bottom w:val="nil"/>
              <w:right w:val="nil"/>
            </w:tcBorders>
            <w:tcMar>
              <w:top w:w="60" w:type="dxa"/>
              <w:left w:w="100" w:type="dxa"/>
              <w:bottom w:w="60" w:type="dxa"/>
              <w:right w:w="100" w:type="dxa"/>
            </w:tcMar>
          </w:tcPr>
          <w:p w14:paraId="48E9856F" w14:textId="77777777" w:rsidR="009D2FD2" w:rsidRDefault="00000000">
            <w:pPr>
              <w:pStyle w:val="Tablacelda"/>
              <w:jc w:val="right"/>
            </w:pPr>
            <w:r>
              <w:t>648,4</w:t>
            </w:r>
          </w:p>
        </w:tc>
        <w:tc>
          <w:tcPr>
            <w:tcW w:w="1800" w:type="dxa"/>
            <w:tcBorders>
              <w:top w:val="nil"/>
              <w:left w:val="nil"/>
              <w:bottom w:val="nil"/>
              <w:right w:val="nil"/>
            </w:tcBorders>
            <w:tcMar>
              <w:top w:w="60" w:type="dxa"/>
              <w:left w:w="100" w:type="dxa"/>
              <w:bottom w:w="60" w:type="dxa"/>
              <w:right w:w="100" w:type="dxa"/>
            </w:tcMar>
          </w:tcPr>
          <w:p w14:paraId="41B0BC4E" w14:textId="77777777" w:rsidR="009D2FD2" w:rsidRDefault="00000000">
            <w:pPr>
              <w:pStyle w:val="Tablacelda"/>
              <w:jc w:val="right"/>
            </w:pPr>
            <w:r>
              <w:t>—</w:t>
            </w:r>
          </w:p>
        </w:tc>
        <w:tc>
          <w:tcPr>
            <w:tcW w:w="2160" w:type="dxa"/>
            <w:tcBorders>
              <w:top w:val="nil"/>
              <w:left w:val="nil"/>
              <w:bottom w:val="nil"/>
              <w:right w:val="nil"/>
            </w:tcBorders>
            <w:tcMar>
              <w:top w:w="60" w:type="dxa"/>
              <w:left w:w="100" w:type="dxa"/>
              <w:bottom w:w="60" w:type="dxa"/>
              <w:right w:w="100" w:type="dxa"/>
            </w:tcMar>
          </w:tcPr>
          <w:p w14:paraId="3434D307" w14:textId="77777777" w:rsidR="009D2FD2" w:rsidRDefault="00000000">
            <w:pPr>
              <w:pStyle w:val="Tablacelda"/>
              <w:jc w:val="right"/>
            </w:pPr>
            <w:r>
              <w:t>13,7 %</w:t>
            </w:r>
          </w:p>
        </w:tc>
      </w:tr>
      <w:tr w:rsidR="009D2FD2" w14:paraId="22F9FC28" w14:textId="77777777">
        <w:tc>
          <w:tcPr>
            <w:tcW w:w="3400" w:type="dxa"/>
            <w:tcBorders>
              <w:top w:val="nil"/>
              <w:left w:val="nil"/>
              <w:bottom w:val="nil"/>
              <w:right w:val="nil"/>
            </w:tcBorders>
            <w:tcMar>
              <w:top w:w="60" w:type="dxa"/>
              <w:left w:w="100" w:type="dxa"/>
              <w:bottom w:w="60" w:type="dxa"/>
              <w:right w:w="100" w:type="dxa"/>
            </w:tcMar>
          </w:tcPr>
          <w:p w14:paraId="6A758FCC" w14:textId="77777777" w:rsidR="009D2FD2" w:rsidRDefault="00000000">
            <w:pPr>
              <w:pStyle w:val="Tablacelda"/>
            </w:pPr>
            <w:r>
              <w:t>Escenario base (camino mediano)</w:t>
            </w:r>
          </w:p>
        </w:tc>
        <w:tc>
          <w:tcPr>
            <w:tcW w:w="2000" w:type="dxa"/>
            <w:tcBorders>
              <w:top w:val="nil"/>
              <w:left w:val="nil"/>
              <w:bottom w:val="nil"/>
              <w:right w:val="nil"/>
            </w:tcBorders>
            <w:tcMar>
              <w:top w:w="60" w:type="dxa"/>
              <w:left w:w="100" w:type="dxa"/>
              <w:bottom w:w="60" w:type="dxa"/>
              <w:right w:w="100" w:type="dxa"/>
            </w:tcMar>
          </w:tcPr>
          <w:p w14:paraId="3B1A69F7" w14:textId="77777777" w:rsidR="009D2FD2" w:rsidRDefault="00000000">
            <w:pPr>
              <w:pStyle w:val="Tablacelda"/>
              <w:jc w:val="right"/>
            </w:pPr>
            <w:r>
              <w:t>745,0</w:t>
            </w:r>
          </w:p>
        </w:tc>
        <w:tc>
          <w:tcPr>
            <w:tcW w:w="1800" w:type="dxa"/>
            <w:tcBorders>
              <w:top w:val="nil"/>
              <w:left w:val="nil"/>
              <w:bottom w:val="nil"/>
              <w:right w:val="nil"/>
            </w:tcBorders>
            <w:tcMar>
              <w:top w:w="60" w:type="dxa"/>
              <w:left w:w="100" w:type="dxa"/>
              <w:bottom w:w="60" w:type="dxa"/>
              <w:right w:w="100" w:type="dxa"/>
            </w:tcMar>
          </w:tcPr>
          <w:p w14:paraId="7F5FEEEF" w14:textId="77777777" w:rsidR="009D2FD2" w:rsidRDefault="00000000">
            <w:pPr>
              <w:pStyle w:val="Tablacelda"/>
              <w:jc w:val="right"/>
            </w:pPr>
            <w:r>
              <w:t>+14,9 %</w:t>
            </w:r>
          </w:p>
        </w:tc>
        <w:tc>
          <w:tcPr>
            <w:tcW w:w="2160" w:type="dxa"/>
            <w:tcBorders>
              <w:top w:val="nil"/>
              <w:left w:val="nil"/>
              <w:bottom w:val="nil"/>
              <w:right w:val="nil"/>
            </w:tcBorders>
            <w:tcMar>
              <w:top w:w="60" w:type="dxa"/>
              <w:left w:w="100" w:type="dxa"/>
              <w:bottom w:w="60" w:type="dxa"/>
              <w:right w:w="100" w:type="dxa"/>
            </w:tcMar>
          </w:tcPr>
          <w:p w14:paraId="1E5E4E99" w14:textId="77777777" w:rsidR="009D2FD2" w:rsidRDefault="00000000">
            <w:pPr>
              <w:pStyle w:val="Tablacelda"/>
              <w:jc w:val="right"/>
            </w:pPr>
            <w:r>
              <w:t>16,9 %</w:t>
            </w:r>
          </w:p>
        </w:tc>
      </w:tr>
      <w:tr w:rsidR="009D2FD2" w14:paraId="34D6E16C" w14:textId="77777777">
        <w:tc>
          <w:tcPr>
            <w:tcW w:w="3400" w:type="dxa"/>
            <w:tcBorders>
              <w:top w:val="nil"/>
              <w:left w:val="nil"/>
              <w:bottom w:val="nil"/>
              <w:right w:val="nil"/>
            </w:tcBorders>
            <w:tcMar>
              <w:top w:w="60" w:type="dxa"/>
              <w:left w:w="100" w:type="dxa"/>
              <w:bottom w:w="60" w:type="dxa"/>
              <w:right w:w="100" w:type="dxa"/>
            </w:tcMar>
          </w:tcPr>
          <w:p w14:paraId="6B4B4353" w14:textId="77777777" w:rsidR="009D2FD2" w:rsidRDefault="00000000">
            <w:pPr>
              <w:pStyle w:val="Tablacelda"/>
            </w:pPr>
            <w:r>
              <w:t>Escenario peso fuerte</w:t>
            </w:r>
          </w:p>
        </w:tc>
        <w:tc>
          <w:tcPr>
            <w:tcW w:w="2000" w:type="dxa"/>
            <w:tcBorders>
              <w:top w:val="nil"/>
              <w:left w:val="nil"/>
              <w:bottom w:val="nil"/>
              <w:right w:val="nil"/>
            </w:tcBorders>
            <w:tcMar>
              <w:top w:w="60" w:type="dxa"/>
              <w:left w:w="100" w:type="dxa"/>
              <w:bottom w:w="60" w:type="dxa"/>
              <w:right w:w="100" w:type="dxa"/>
            </w:tcMar>
          </w:tcPr>
          <w:p w14:paraId="4162BB37" w14:textId="77777777" w:rsidR="009D2FD2" w:rsidRDefault="00000000">
            <w:pPr>
              <w:pStyle w:val="Tablacelda"/>
              <w:jc w:val="right"/>
            </w:pPr>
            <w:r>
              <w:t>691,6</w:t>
            </w:r>
          </w:p>
        </w:tc>
        <w:tc>
          <w:tcPr>
            <w:tcW w:w="1800" w:type="dxa"/>
            <w:tcBorders>
              <w:top w:val="nil"/>
              <w:left w:val="nil"/>
              <w:bottom w:val="nil"/>
              <w:right w:val="nil"/>
            </w:tcBorders>
            <w:tcMar>
              <w:top w:w="60" w:type="dxa"/>
              <w:left w:w="100" w:type="dxa"/>
              <w:bottom w:w="60" w:type="dxa"/>
              <w:right w:w="100" w:type="dxa"/>
            </w:tcMar>
          </w:tcPr>
          <w:p w14:paraId="03B514C3" w14:textId="77777777" w:rsidR="009D2FD2" w:rsidRDefault="00000000">
            <w:pPr>
              <w:pStyle w:val="Tablacelda"/>
              <w:jc w:val="right"/>
            </w:pPr>
            <w:r>
              <w:t>+6,7 %</w:t>
            </w:r>
          </w:p>
        </w:tc>
        <w:tc>
          <w:tcPr>
            <w:tcW w:w="2160" w:type="dxa"/>
            <w:tcBorders>
              <w:top w:val="nil"/>
              <w:left w:val="nil"/>
              <w:bottom w:val="nil"/>
              <w:right w:val="nil"/>
            </w:tcBorders>
            <w:tcMar>
              <w:top w:w="60" w:type="dxa"/>
              <w:left w:w="100" w:type="dxa"/>
              <w:bottom w:w="60" w:type="dxa"/>
              <w:right w:w="100" w:type="dxa"/>
            </w:tcMar>
          </w:tcPr>
          <w:p w14:paraId="54EA1FE8" w14:textId="77777777" w:rsidR="009D2FD2" w:rsidRDefault="00000000">
            <w:pPr>
              <w:pStyle w:val="Tablacelda"/>
              <w:jc w:val="right"/>
            </w:pPr>
            <w:r>
              <w:t>14,9 %</w:t>
            </w:r>
          </w:p>
        </w:tc>
      </w:tr>
      <w:tr w:rsidR="009D2FD2" w14:paraId="19482E55" w14:textId="77777777">
        <w:tc>
          <w:tcPr>
            <w:tcW w:w="3400" w:type="dxa"/>
            <w:tcBorders>
              <w:top w:val="nil"/>
              <w:left w:val="nil"/>
              <w:bottom w:val="single" w:sz="8" w:space="0" w:color="000000"/>
              <w:right w:val="nil"/>
            </w:tcBorders>
            <w:tcMar>
              <w:top w:w="60" w:type="dxa"/>
              <w:left w:w="100" w:type="dxa"/>
              <w:bottom w:w="60" w:type="dxa"/>
              <w:right w:w="100" w:type="dxa"/>
            </w:tcMar>
          </w:tcPr>
          <w:p w14:paraId="3292B36B" w14:textId="77777777" w:rsidR="009D2FD2" w:rsidRDefault="00000000">
            <w:pPr>
              <w:pStyle w:val="Tablacelda"/>
            </w:pPr>
            <w:r>
              <w:t>Escenario peso débil</w:t>
            </w:r>
          </w:p>
        </w:tc>
        <w:tc>
          <w:tcPr>
            <w:tcW w:w="2000" w:type="dxa"/>
            <w:tcBorders>
              <w:top w:val="nil"/>
              <w:left w:val="nil"/>
              <w:bottom w:val="single" w:sz="8" w:space="0" w:color="000000"/>
              <w:right w:val="nil"/>
            </w:tcBorders>
            <w:tcMar>
              <w:top w:w="60" w:type="dxa"/>
              <w:left w:w="100" w:type="dxa"/>
              <w:bottom w:w="60" w:type="dxa"/>
              <w:right w:w="100" w:type="dxa"/>
            </w:tcMar>
          </w:tcPr>
          <w:p w14:paraId="40F9D8C7" w14:textId="77777777" w:rsidR="009D2FD2" w:rsidRDefault="00000000">
            <w:pPr>
              <w:pStyle w:val="Tablacelda"/>
              <w:jc w:val="right"/>
            </w:pPr>
            <w:r>
              <w:t>813,7</w:t>
            </w:r>
          </w:p>
        </w:tc>
        <w:tc>
          <w:tcPr>
            <w:tcW w:w="1800" w:type="dxa"/>
            <w:tcBorders>
              <w:top w:val="nil"/>
              <w:left w:val="nil"/>
              <w:bottom w:val="single" w:sz="8" w:space="0" w:color="000000"/>
              <w:right w:val="nil"/>
            </w:tcBorders>
            <w:tcMar>
              <w:top w:w="60" w:type="dxa"/>
              <w:left w:w="100" w:type="dxa"/>
              <w:bottom w:w="60" w:type="dxa"/>
              <w:right w:w="100" w:type="dxa"/>
            </w:tcMar>
          </w:tcPr>
          <w:p w14:paraId="4BFE1A04" w14:textId="77777777" w:rsidR="009D2FD2" w:rsidRDefault="00000000">
            <w:pPr>
              <w:pStyle w:val="Tablacelda"/>
              <w:jc w:val="right"/>
            </w:pPr>
            <w:r>
              <w:t>+25,5 %</w:t>
            </w:r>
          </w:p>
        </w:tc>
        <w:tc>
          <w:tcPr>
            <w:tcW w:w="2160" w:type="dxa"/>
            <w:tcBorders>
              <w:top w:val="nil"/>
              <w:left w:val="nil"/>
              <w:bottom w:val="single" w:sz="8" w:space="0" w:color="000000"/>
              <w:right w:val="nil"/>
            </w:tcBorders>
            <w:tcMar>
              <w:top w:w="60" w:type="dxa"/>
              <w:left w:w="100" w:type="dxa"/>
              <w:bottom w:w="60" w:type="dxa"/>
              <w:right w:w="100" w:type="dxa"/>
            </w:tcMar>
          </w:tcPr>
          <w:p w14:paraId="6E38EF7B" w14:textId="77777777" w:rsidR="009D2FD2" w:rsidRDefault="00000000">
            <w:pPr>
              <w:pStyle w:val="Tablacelda"/>
              <w:jc w:val="right"/>
            </w:pPr>
            <w:r>
              <w:t>19,5 %</w:t>
            </w:r>
          </w:p>
        </w:tc>
      </w:tr>
    </w:tbl>
    <w:p w14:paraId="0126350B" w14:textId="77777777" w:rsidR="009D2FD2" w:rsidRDefault="009D2FD2">
      <w:pPr>
        <w:pStyle w:val="Nota"/>
      </w:pPr>
    </w:p>
    <w:p w14:paraId="31CDA962" w14:textId="77777777" w:rsidR="009D2FD2" w:rsidRDefault="00000000">
      <w:r>
        <w:t xml:space="preserve">En los tres escenarios de la sección A.1 el crédito cuesta más en pesos que con la TRM spot, incluso en el de peso fuerte, porque después del primer año la TRM retoma una depreciación de largo plazo. En el escenario base la cuota sube de COP 16,46 millones en el primer trimestre a COP 20,43 millones en el último y el costo efectivo en pesos pasa de 13,65 % </w:t>
      </w:r>
      <w:r>
        <w:lastRenderedPageBreak/>
        <w:t>a 16,9 % anual. La simulación muestra la dispersión del resultado: en 74,8 % de los caminos se paga más que con la TRM spot, en 30 % el costo efectivo supera 20 % anual y en el 5 % de los casos más desfavorables el total pagado llega a más de COP 1.100 millones, más del triple del monto recibido. En el otro extremo, si el peso se apreciara de forma sostenida, el costo podría bajar a cerca de 9 % anual.</w:t>
      </w:r>
    </w:p>
    <w:p w14:paraId="39E7EBE5" w14:textId="77777777" w:rsidR="009D2FD2" w:rsidRDefault="00000000">
      <w:pPr>
        <w:pStyle w:val="TtuloAPAnivel2"/>
      </w:pPr>
      <w:r>
        <w:t>Intereses frente a tasa de cambio</w:t>
      </w:r>
    </w:p>
    <w:p w14:paraId="115186A0" w14:textId="77777777" w:rsidR="009D2FD2" w:rsidRDefault="00000000">
      <w:r>
        <w:t xml:space="preserve">Para separar las dos fuentes de costo, cada cuota se divide en interés y abono a capital (en dólares) y cada parte se valora de dos formas: a la TRM spot y a la TRM proyectada. La diferencia entre ambas es el efecto cambiario. </w:t>
      </w:r>
    </w:p>
    <w:p w14:paraId="7FA65C6C" w14:textId="77777777" w:rsidR="00D20524" w:rsidRDefault="00000000">
      <w:pPr>
        <w:pStyle w:val="Rtulotablaofigura"/>
      </w:pPr>
      <w:r>
        <w:rPr>
          <w:b/>
          <w:bCs/>
        </w:rPr>
        <w:t>Tabla 10</w:t>
      </w:r>
    </w:p>
    <w:p w14:paraId="2C349332" w14:textId="77777777" w:rsidR="00D20524" w:rsidRDefault="00000000">
      <w:pPr>
        <w:pStyle w:val="Ttulotablaofigura"/>
      </w:pPr>
      <w:r>
        <w:t>Descomposición del costo en intereses y efecto cambiario</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000"/>
        <w:gridCol w:w="1150"/>
        <w:gridCol w:w="1150"/>
        <w:gridCol w:w="1250"/>
        <w:gridCol w:w="1250"/>
        <w:gridCol w:w="1560"/>
      </w:tblGrid>
      <w:tr w:rsidR="009D2FD2" w14:paraId="1890F036" w14:textId="77777777">
        <w:trPr>
          <w:tblHeader/>
        </w:trPr>
        <w:tc>
          <w:tcPr>
            <w:tcW w:w="30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7FFB7A8" w14:textId="77777777" w:rsidR="009D2FD2" w:rsidRDefault="00000000">
            <w:pPr>
              <w:pStyle w:val="Tablacelda"/>
            </w:pPr>
            <w:r>
              <w:rPr>
                <w:b/>
                <w:bCs/>
              </w:rPr>
              <w:t>Componente (COP millones)</w:t>
            </w:r>
          </w:p>
        </w:tc>
        <w:tc>
          <w:tcPr>
            <w:tcW w:w="11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835A7B6" w14:textId="77777777" w:rsidR="009D2FD2" w:rsidRDefault="00000000">
            <w:pPr>
              <w:pStyle w:val="Tablacelda"/>
              <w:jc w:val="right"/>
            </w:pPr>
            <w:r>
              <w:rPr>
                <w:b/>
                <w:bCs/>
              </w:rPr>
              <w:t>Spot</w:t>
            </w:r>
          </w:p>
        </w:tc>
        <w:tc>
          <w:tcPr>
            <w:tcW w:w="11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D6FB860" w14:textId="77777777" w:rsidR="009D2FD2" w:rsidRDefault="00000000">
            <w:pPr>
              <w:pStyle w:val="Tablacelda"/>
              <w:jc w:val="right"/>
            </w:pPr>
            <w:r>
              <w:rPr>
                <w:b/>
                <w:bCs/>
              </w:rPr>
              <w:t>Base</w:t>
            </w:r>
          </w:p>
        </w:tc>
        <w:tc>
          <w:tcPr>
            <w:tcW w:w="12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2010AC0" w14:textId="77777777" w:rsidR="009D2FD2" w:rsidRDefault="00000000">
            <w:pPr>
              <w:pStyle w:val="Tablacelda"/>
              <w:jc w:val="right"/>
            </w:pPr>
            <w:r>
              <w:rPr>
                <w:b/>
                <w:bCs/>
              </w:rPr>
              <w:t>Peso fuerte</w:t>
            </w:r>
          </w:p>
        </w:tc>
        <w:tc>
          <w:tcPr>
            <w:tcW w:w="12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D06335A" w14:textId="77777777" w:rsidR="009D2FD2" w:rsidRDefault="00000000">
            <w:pPr>
              <w:pStyle w:val="Tablacelda"/>
              <w:jc w:val="right"/>
            </w:pPr>
            <w:r>
              <w:rPr>
                <w:b/>
                <w:bCs/>
              </w:rPr>
              <w:t>Peso débil</w:t>
            </w:r>
          </w:p>
        </w:tc>
        <w:tc>
          <w:tcPr>
            <w:tcW w:w="15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1ECE81A" w14:textId="77777777" w:rsidR="009D2FD2" w:rsidRDefault="00000000">
            <w:pPr>
              <w:pStyle w:val="Tablacelda"/>
              <w:jc w:val="right"/>
            </w:pPr>
            <w:r>
              <w:rPr>
                <w:b/>
                <w:bCs/>
              </w:rPr>
              <w:t>Simulación (media)</w:t>
            </w:r>
          </w:p>
        </w:tc>
      </w:tr>
      <w:tr w:rsidR="009D2FD2" w14:paraId="25BF00E6" w14:textId="77777777">
        <w:tc>
          <w:tcPr>
            <w:tcW w:w="3000" w:type="dxa"/>
            <w:tcBorders>
              <w:top w:val="nil"/>
              <w:left w:val="nil"/>
              <w:bottom w:val="nil"/>
              <w:right w:val="nil"/>
            </w:tcBorders>
            <w:tcMar>
              <w:top w:w="60" w:type="dxa"/>
              <w:left w:w="100" w:type="dxa"/>
              <w:bottom w:w="60" w:type="dxa"/>
              <w:right w:w="100" w:type="dxa"/>
            </w:tcMar>
          </w:tcPr>
          <w:p w14:paraId="0B5BF507" w14:textId="77777777" w:rsidR="009D2FD2" w:rsidRDefault="00000000">
            <w:pPr>
              <w:pStyle w:val="Tablacelda"/>
            </w:pPr>
            <w:r>
              <w:t>Capital a TRM spot</w:t>
            </w:r>
          </w:p>
        </w:tc>
        <w:tc>
          <w:tcPr>
            <w:tcW w:w="1150" w:type="dxa"/>
            <w:tcBorders>
              <w:top w:val="nil"/>
              <w:left w:val="nil"/>
              <w:bottom w:val="nil"/>
              <w:right w:val="nil"/>
            </w:tcBorders>
            <w:tcMar>
              <w:top w:w="60" w:type="dxa"/>
              <w:left w:w="100" w:type="dxa"/>
              <w:bottom w:w="60" w:type="dxa"/>
              <w:right w:w="100" w:type="dxa"/>
            </w:tcMar>
          </w:tcPr>
          <w:p w14:paraId="61D3C3DD" w14:textId="77777777" w:rsidR="009D2FD2" w:rsidRDefault="00000000">
            <w:pPr>
              <w:pStyle w:val="Tablacelda"/>
              <w:jc w:val="right"/>
            </w:pPr>
            <w:r>
              <w:t>360,0</w:t>
            </w:r>
          </w:p>
        </w:tc>
        <w:tc>
          <w:tcPr>
            <w:tcW w:w="1150" w:type="dxa"/>
            <w:tcBorders>
              <w:top w:val="nil"/>
              <w:left w:val="nil"/>
              <w:bottom w:val="nil"/>
              <w:right w:val="nil"/>
            </w:tcBorders>
            <w:tcMar>
              <w:top w:w="60" w:type="dxa"/>
              <w:left w:w="100" w:type="dxa"/>
              <w:bottom w:w="60" w:type="dxa"/>
              <w:right w:w="100" w:type="dxa"/>
            </w:tcMar>
          </w:tcPr>
          <w:p w14:paraId="140DE994" w14:textId="77777777" w:rsidR="009D2FD2" w:rsidRDefault="00000000">
            <w:pPr>
              <w:pStyle w:val="Tablacelda"/>
              <w:jc w:val="right"/>
            </w:pPr>
            <w:r>
              <w:t>360,0</w:t>
            </w:r>
          </w:p>
        </w:tc>
        <w:tc>
          <w:tcPr>
            <w:tcW w:w="1250" w:type="dxa"/>
            <w:tcBorders>
              <w:top w:val="nil"/>
              <w:left w:val="nil"/>
              <w:bottom w:val="nil"/>
              <w:right w:val="nil"/>
            </w:tcBorders>
            <w:tcMar>
              <w:top w:w="60" w:type="dxa"/>
              <w:left w:w="100" w:type="dxa"/>
              <w:bottom w:w="60" w:type="dxa"/>
              <w:right w:w="100" w:type="dxa"/>
            </w:tcMar>
          </w:tcPr>
          <w:p w14:paraId="74C682A4" w14:textId="77777777" w:rsidR="009D2FD2" w:rsidRDefault="00000000">
            <w:pPr>
              <w:pStyle w:val="Tablacelda"/>
              <w:jc w:val="right"/>
            </w:pPr>
            <w:r>
              <w:t>360,0</w:t>
            </w:r>
          </w:p>
        </w:tc>
        <w:tc>
          <w:tcPr>
            <w:tcW w:w="1250" w:type="dxa"/>
            <w:tcBorders>
              <w:top w:val="nil"/>
              <w:left w:val="nil"/>
              <w:bottom w:val="nil"/>
              <w:right w:val="nil"/>
            </w:tcBorders>
            <w:tcMar>
              <w:top w:w="60" w:type="dxa"/>
              <w:left w:w="100" w:type="dxa"/>
              <w:bottom w:w="60" w:type="dxa"/>
              <w:right w:w="100" w:type="dxa"/>
            </w:tcMar>
          </w:tcPr>
          <w:p w14:paraId="7E8ED066" w14:textId="77777777" w:rsidR="009D2FD2" w:rsidRDefault="00000000">
            <w:pPr>
              <w:pStyle w:val="Tablacelda"/>
              <w:jc w:val="right"/>
            </w:pPr>
            <w:r>
              <w:t>360,0</w:t>
            </w:r>
          </w:p>
        </w:tc>
        <w:tc>
          <w:tcPr>
            <w:tcW w:w="1560" w:type="dxa"/>
            <w:tcBorders>
              <w:top w:val="nil"/>
              <w:left w:val="nil"/>
              <w:bottom w:val="nil"/>
              <w:right w:val="nil"/>
            </w:tcBorders>
            <w:tcMar>
              <w:top w:w="60" w:type="dxa"/>
              <w:left w:w="100" w:type="dxa"/>
              <w:bottom w:w="60" w:type="dxa"/>
              <w:right w:w="100" w:type="dxa"/>
            </w:tcMar>
          </w:tcPr>
          <w:p w14:paraId="47DDDEF4" w14:textId="77777777" w:rsidR="009D2FD2" w:rsidRDefault="00000000">
            <w:pPr>
              <w:pStyle w:val="Tablacelda"/>
              <w:jc w:val="right"/>
            </w:pPr>
            <w:r>
              <w:t>360,0</w:t>
            </w:r>
          </w:p>
        </w:tc>
      </w:tr>
      <w:tr w:rsidR="009D2FD2" w14:paraId="5FE874C9" w14:textId="77777777">
        <w:tc>
          <w:tcPr>
            <w:tcW w:w="3000" w:type="dxa"/>
            <w:tcBorders>
              <w:top w:val="nil"/>
              <w:left w:val="nil"/>
              <w:bottom w:val="nil"/>
              <w:right w:val="nil"/>
            </w:tcBorders>
            <w:tcMar>
              <w:top w:w="60" w:type="dxa"/>
              <w:left w:w="100" w:type="dxa"/>
              <w:bottom w:w="60" w:type="dxa"/>
              <w:right w:w="100" w:type="dxa"/>
            </w:tcMar>
          </w:tcPr>
          <w:p w14:paraId="2B922B42" w14:textId="77777777" w:rsidR="009D2FD2" w:rsidRDefault="00000000">
            <w:pPr>
              <w:pStyle w:val="Tablacelda"/>
            </w:pPr>
            <w:r>
              <w:t>Intereses a TRM spot</w:t>
            </w:r>
          </w:p>
        </w:tc>
        <w:tc>
          <w:tcPr>
            <w:tcW w:w="1150" w:type="dxa"/>
            <w:tcBorders>
              <w:top w:val="nil"/>
              <w:left w:val="nil"/>
              <w:bottom w:val="nil"/>
              <w:right w:val="nil"/>
            </w:tcBorders>
            <w:tcMar>
              <w:top w:w="60" w:type="dxa"/>
              <w:left w:w="100" w:type="dxa"/>
              <w:bottom w:w="60" w:type="dxa"/>
              <w:right w:w="100" w:type="dxa"/>
            </w:tcMar>
          </w:tcPr>
          <w:p w14:paraId="21924331" w14:textId="77777777" w:rsidR="009D2FD2" w:rsidRDefault="00000000">
            <w:pPr>
              <w:pStyle w:val="Tablacelda"/>
              <w:jc w:val="right"/>
            </w:pPr>
            <w:r>
              <w:t>288,4</w:t>
            </w:r>
          </w:p>
        </w:tc>
        <w:tc>
          <w:tcPr>
            <w:tcW w:w="1150" w:type="dxa"/>
            <w:tcBorders>
              <w:top w:val="nil"/>
              <w:left w:val="nil"/>
              <w:bottom w:val="nil"/>
              <w:right w:val="nil"/>
            </w:tcBorders>
            <w:tcMar>
              <w:top w:w="60" w:type="dxa"/>
              <w:left w:w="100" w:type="dxa"/>
              <w:bottom w:w="60" w:type="dxa"/>
              <w:right w:w="100" w:type="dxa"/>
            </w:tcMar>
          </w:tcPr>
          <w:p w14:paraId="03287BD5" w14:textId="77777777" w:rsidR="009D2FD2" w:rsidRDefault="00000000">
            <w:pPr>
              <w:pStyle w:val="Tablacelda"/>
              <w:jc w:val="right"/>
            </w:pPr>
            <w:r>
              <w:t>288,4</w:t>
            </w:r>
          </w:p>
        </w:tc>
        <w:tc>
          <w:tcPr>
            <w:tcW w:w="1250" w:type="dxa"/>
            <w:tcBorders>
              <w:top w:val="nil"/>
              <w:left w:val="nil"/>
              <w:bottom w:val="nil"/>
              <w:right w:val="nil"/>
            </w:tcBorders>
            <w:tcMar>
              <w:top w:w="60" w:type="dxa"/>
              <w:left w:w="100" w:type="dxa"/>
              <w:bottom w:w="60" w:type="dxa"/>
              <w:right w:w="100" w:type="dxa"/>
            </w:tcMar>
          </w:tcPr>
          <w:p w14:paraId="4323435D" w14:textId="77777777" w:rsidR="009D2FD2" w:rsidRDefault="00000000">
            <w:pPr>
              <w:pStyle w:val="Tablacelda"/>
              <w:jc w:val="right"/>
            </w:pPr>
            <w:r>
              <w:t>288,4</w:t>
            </w:r>
          </w:p>
        </w:tc>
        <w:tc>
          <w:tcPr>
            <w:tcW w:w="1250" w:type="dxa"/>
            <w:tcBorders>
              <w:top w:val="nil"/>
              <w:left w:val="nil"/>
              <w:bottom w:val="nil"/>
              <w:right w:val="nil"/>
            </w:tcBorders>
            <w:tcMar>
              <w:top w:w="60" w:type="dxa"/>
              <w:left w:w="100" w:type="dxa"/>
              <w:bottom w:w="60" w:type="dxa"/>
              <w:right w:w="100" w:type="dxa"/>
            </w:tcMar>
          </w:tcPr>
          <w:p w14:paraId="3ADC2E57" w14:textId="77777777" w:rsidR="009D2FD2" w:rsidRDefault="00000000">
            <w:pPr>
              <w:pStyle w:val="Tablacelda"/>
              <w:jc w:val="right"/>
            </w:pPr>
            <w:r>
              <w:t>288,4</w:t>
            </w:r>
          </w:p>
        </w:tc>
        <w:tc>
          <w:tcPr>
            <w:tcW w:w="1560" w:type="dxa"/>
            <w:tcBorders>
              <w:top w:val="nil"/>
              <w:left w:val="nil"/>
              <w:bottom w:val="nil"/>
              <w:right w:val="nil"/>
            </w:tcBorders>
            <w:tcMar>
              <w:top w:w="60" w:type="dxa"/>
              <w:left w:w="100" w:type="dxa"/>
              <w:bottom w:w="60" w:type="dxa"/>
              <w:right w:w="100" w:type="dxa"/>
            </w:tcMar>
          </w:tcPr>
          <w:p w14:paraId="2BEA8B22" w14:textId="77777777" w:rsidR="009D2FD2" w:rsidRDefault="00000000">
            <w:pPr>
              <w:pStyle w:val="Tablacelda"/>
              <w:jc w:val="right"/>
            </w:pPr>
            <w:r>
              <w:t>288,4</w:t>
            </w:r>
          </w:p>
        </w:tc>
      </w:tr>
      <w:tr w:rsidR="009D2FD2" w14:paraId="7E00D91A" w14:textId="77777777">
        <w:tc>
          <w:tcPr>
            <w:tcW w:w="3000" w:type="dxa"/>
            <w:tcBorders>
              <w:top w:val="nil"/>
              <w:left w:val="nil"/>
              <w:bottom w:val="nil"/>
              <w:right w:val="nil"/>
            </w:tcBorders>
            <w:tcMar>
              <w:top w:w="60" w:type="dxa"/>
              <w:left w:w="100" w:type="dxa"/>
              <w:bottom w:w="60" w:type="dxa"/>
              <w:right w:w="100" w:type="dxa"/>
            </w:tcMar>
          </w:tcPr>
          <w:p w14:paraId="73D53043" w14:textId="77777777" w:rsidR="009D2FD2" w:rsidRDefault="00000000">
            <w:pPr>
              <w:pStyle w:val="Tablacelda"/>
            </w:pPr>
            <w:r>
              <w:t>Efecto cambiario sobre intereses</w:t>
            </w:r>
          </w:p>
        </w:tc>
        <w:tc>
          <w:tcPr>
            <w:tcW w:w="1150" w:type="dxa"/>
            <w:tcBorders>
              <w:top w:val="nil"/>
              <w:left w:val="nil"/>
              <w:bottom w:val="nil"/>
              <w:right w:val="nil"/>
            </w:tcBorders>
            <w:tcMar>
              <w:top w:w="60" w:type="dxa"/>
              <w:left w:w="100" w:type="dxa"/>
              <w:bottom w:w="60" w:type="dxa"/>
              <w:right w:w="100" w:type="dxa"/>
            </w:tcMar>
          </w:tcPr>
          <w:p w14:paraId="54A97419" w14:textId="77777777" w:rsidR="009D2FD2" w:rsidRDefault="00000000">
            <w:pPr>
              <w:pStyle w:val="Tablacelda"/>
              <w:jc w:val="right"/>
            </w:pPr>
            <w:r>
              <w:t>0,0</w:t>
            </w:r>
          </w:p>
        </w:tc>
        <w:tc>
          <w:tcPr>
            <w:tcW w:w="1150" w:type="dxa"/>
            <w:tcBorders>
              <w:top w:val="nil"/>
              <w:left w:val="nil"/>
              <w:bottom w:val="nil"/>
              <w:right w:val="nil"/>
            </w:tcBorders>
            <w:tcMar>
              <w:top w:w="60" w:type="dxa"/>
              <w:left w:w="100" w:type="dxa"/>
              <w:bottom w:w="60" w:type="dxa"/>
              <w:right w:w="100" w:type="dxa"/>
            </w:tcMar>
          </w:tcPr>
          <w:p w14:paraId="03D7C35E" w14:textId="77777777" w:rsidR="009D2FD2" w:rsidRDefault="00000000">
            <w:pPr>
              <w:pStyle w:val="Tablacelda"/>
              <w:jc w:val="right"/>
            </w:pPr>
            <w:r>
              <w:t>34,5</w:t>
            </w:r>
          </w:p>
        </w:tc>
        <w:tc>
          <w:tcPr>
            <w:tcW w:w="1250" w:type="dxa"/>
            <w:tcBorders>
              <w:top w:val="nil"/>
              <w:left w:val="nil"/>
              <w:bottom w:val="nil"/>
              <w:right w:val="nil"/>
            </w:tcBorders>
            <w:tcMar>
              <w:top w:w="60" w:type="dxa"/>
              <w:left w:w="100" w:type="dxa"/>
              <w:bottom w:w="60" w:type="dxa"/>
              <w:right w:w="100" w:type="dxa"/>
            </w:tcMar>
          </w:tcPr>
          <w:p w14:paraId="076EB04A" w14:textId="77777777" w:rsidR="009D2FD2" w:rsidRDefault="00000000">
            <w:pPr>
              <w:pStyle w:val="Tablacelda"/>
              <w:jc w:val="right"/>
            </w:pPr>
            <w:r>
              <w:t>11,8</w:t>
            </w:r>
          </w:p>
        </w:tc>
        <w:tc>
          <w:tcPr>
            <w:tcW w:w="1250" w:type="dxa"/>
            <w:tcBorders>
              <w:top w:val="nil"/>
              <w:left w:val="nil"/>
              <w:bottom w:val="nil"/>
              <w:right w:val="nil"/>
            </w:tcBorders>
            <w:tcMar>
              <w:top w:w="60" w:type="dxa"/>
              <w:left w:w="100" w:type="dxa"/>
              <w:bottom w:w="60" w:type="dxa"/>
              <w:right w:w="100" w:type="dxa"/>
            </w:tcMar>
          </w:tcPr>
          <w:p w14:paraId="3C6DB0C5" w14:textId="77777777" w:rsidR="009D2FD2" w:rsidRDefault="00000000">
            <w:pPr>
              <w:pStyle w:val="Tablacelda"/>
              <w:jc w:val="right"/>
            </w:pPr>
            <w:r>
              <w:t>63,6</w:t>
            </w:r>
          </w:p>
        </w:tc>
        <w:tc>
          <w:tcPr>
            <w:tcW w:w="1560" w:type="dxa"/>
            <w:tcBorders>
              <w:top w:val="nil"/>
              <w:left w:val="nil"/>
              <w:bottom w:val="nil"/>
              <w:right w:val="nil"/>
            </w:tcBorders>
            <w:tcMar>
              <w:top w:w="60" w:type="dxa"/>
              <w:left w:w="100" w:type="dxa"/>
              <w:bottom w:w="60" w:type="dxa"/>
              <w:right w:w="100" w:type="dxa"/>
            </w:tcMar>
          </w:tcPr>
          <w:p w14:paraId="57233DA5" w14:textId="77777777" w:rsidR="009D2FD2" w:rsidRDefault="00000000">
            <w:pPr>
              <w:pStyle w:val="Tablacelda"/>
              <w:jc w:val="right"/>
            </w:pPr>
            <w:r>
              <w:t>45,1</w:t>
            </w:r>
          </w:p>
        </w:tc>
      </w:tr>
      <w:tr w:rsidR="009D2FD2" w14:paraId="2402A5C5" w14:textId="77777777">
        <w:tc>
          <w:tcPr>
            <w:tcW w:w="3000" w:type="dxa"/>
            <w:tcBorders>
              <w:top w:val="nil"/>
              <w:left w:val="nil"/>
              <w:bottom w:val="nil"/>
              <w:right w:val="nil"/>
            </w:tcBorders>
            <w:tcMar>
              <w:top w:w="60" w:type="dxa"/>
              <w:left w:w="100" w:type="dxa"/>
              <w:bottom w:w="60" w:type="dxa"/>
              <w:right w:w="100" w:type="dxa"/>
            </w:tcMar>
          </w:tcPr>
          <w:p w14:paraId="0195A572" w14:textId="77777777" w:rsidR="009D2FD2" w:rsidRDefault="00000000">
            <w:pPr>
              <w:pStyle w:val="Tablacelda"/>
            </w:pPr>
            <w:r>
              <w:t>Efecto cambiario sobre capital</w:t>
            </w:r>
          </w:p>
        </w:tc>
        <w:tc>
          <w:tcPr>
            <w:tcW w:w="1150" w:type="dxa"/>
            <w:tcBorders>
              <w:top w:val="nil"/>
              <w:left w:val="nil"/>
              <w:bottom w:val="nil"/>
              <w:right w:val="nil"/>
            </w:tcBorders>
            <w:tcMar>
              <w:top w:w="60" w:type="dxa"/>
              <w:left w:w="100" w:type="dxa"/>
              <w:bottom w:w="60" w:type="dxa"/>
              <w:right w:w="100" w:type="dxa"/>
            </w:tcMar>
          </w:tcPr>
          <w:p w14:paraId="64F8C893" w14:textId="77777777" w:rsidR="009D2FD2" w:rsidRDefault="00000000">
            <w:pPr>
              <w:pStyle w:val="Tablacelda"/>
              <w:jc w:val="right"/>
            </w:pPr>
            <w:r>
              <w:t>0,0</w:t>
            </w:r>
          </w:p>
        </w:tc>
        <w:tc>
          <w:tcPr>
            <w:tcW w:w="1150" w:type="dxa"/>
            <w:tcBorders>
              <w:top w:val="nil"/>
              <w:left w:val="nil"/>
              <w:bottom w:val="nil"/>
              <w:right w:val="nil"/>
            </w:tcBorders>
            <w:tcMar>
              <w:top w:w="60" w:type="dxa"/>
              <w:left w:w="100" w:type="dxa"/>
              <w:bottom w:w="60" w:type="dxa"/>
              <w:right w:w="100" w:type="dxa"/>
            </w:tcMar>
          </w:tcPr>
          <w:p w14:paraId="37339827" w14:textId="77777777" w:rsidR="009D2FD2" w:rsidRDefault="00000000">
            <w:pPr>
              <w:pStyle w:val="Tablacelda"/>
              <w:jc w:val="right"/>
            </w:pPr>
            <w:r>
              <w:t>62,1</w:t>
            </w:r>
          </w:p>
        </w:tc>
        <w:tc>
          <w:tcPr>
            <w:tcW w:w="1250" w:type="dxa"/>
            <w:tcBorders>
              <w:top w:val="nil"/>
              <w:left w:val="nil"/>
              <w:bottom w:val="nil"/>
              <w:right w:val="nil"/>
            </w:tcBorders>
            <w:tcMar>
              <w:top w:w="60" w:type="dxa"/>
              <w:left w:w="100" w:type="dxa"/>
              <w:bottom w:w="60" w:type="dxa"/>
              <w:right w:w="100" w:type="dxa"/>
            </w:tcMar>
          </w:tcPr>
          <w:p w14:paraId="5160F2EC" w14:textId="77777777" w:rsidR="009D2FD2" w:rsidRDefault="00000000">
            <w:pPr>
              <w:pStyle w:val="Tablacelda"/>
              <w:jc w:val="right"/>
            </w:pPr>
            <w:r>
              <w:t>31,3</w:t>
            </w:r>
          </w:p>
        </w:tc>
        <w:tc>
          <w:tcPr>
            <w:tcW w:w="1250" w:type="dxa"/>
            <w:tcBorders>
              <w:top w:val="nil"/>
              <w:left w:val="nil"/>
              <w:bottom w:val="nil"/>
              <w:right w:val="nil"/>
            </w:tcBorders>
            <w:tcMar>
              <w:top w:w="60" w:type="dxa"/>
              <w:left w:w="100" w:type="dxa"/>
              <w:bottom w:w="60" w:type="dxa"/>
              <w:right w:w="100" w:type="dxa"/>
            </w:tcMar>
          </w:tcPr>
          <w:p w14:paraId="0F543103" w14:textId="77777777" w:rsidR="009D2FD2" w:rsidRDefault="00000000">
            <w:pPr>
              <w:pStyle w:val="Tablacelda"/>
              <w:jc w:val="right"/>
            </w:pPr>
            <w:r>
              <w:t>101,7</w:t>
            </w:r>
          </w:p>
        </w:tc>
        <w:tc>
          <w:tcPr>
            <w:tcW w:w="1560" w:type="dxa"/>
            <w:tcBorders>
              <w:top w:val="nil"/>
              <w:left w:val="nil"/>
              <w:bottom w:val="nil"/>
              <w:right w:val="nil"/>
            </w:tcBorders>
            <w:tcMar>
              <w:top w:w="60" w:type="dxa"/>
              <w:left w:w="100" w:type="dxa"/>
              <w:bottom w:w="60" w:type="dxa"/>
              <w:right w:w="100" w:type="dxa"/>
            </w:tcMar>
          </w:tcPr>
          <w:p w14:paraId="2BE8FB6F" w14:textId="77777777" w:rsidR="009D2FD2" w:rsidRDefault="00000000">
            <w:pPr>
              <w:pStyle w:val="Tablacelda"/>
              <w:jc w:val="right"/>
            </w:pPr>
            <w:r>
              <w:t>84,7</w:t>
            </w:r>
          </w:p>
        </w:tc>
      </w:tr>
      <w:tr w:rsidR="009D2FD2" w14:paraId="53918B63" w14:textId="77777777">
        <w:tc>
          <w:tcPr>
            <w:tcW w:w="3000" w:type="dxa"/>
            <w:tcBorders>
              <w:top w:val="nil"/>
              <w:left w:val="nil"/>
              <w:bottom w:val="single" w:sz="8" w:space="0" w:color="000000"/>
              <w:right w:val="nil"/>
            </w:tcBorders>
            <w:shd w:val="clear" w:color="auto" w:fill="E2EFDA"/>
            <w:tcMar>
              <w:top w:w="60" w:type="dxa"/>
              <w:left w:w="100" w:type="dxa"/>
              <w:bottom w:w="60" w:type="dxa"/>
              <w:right w:w="100" w:type="dxa"/>
            </w:tcMar>
          </w:tcPr>
          <w:p w14:paraId="149E453E" w14:textId="77777777" w:rsidR="009D2FD2" w:rsidRDefault="00000000">
            <w:pPr>
              <w:pStyle w:val="Tablacelda"/>
            </w:pPr>
            <w:r>
              <w:t>Total</w:t>
            </w:r>
          </w:p>
        </w:tc>
        <w:tc>
          <w:tcPr>
            <w:tcW w:w="1150" w:type="dxa"/>
            <w:tcBorders>
              <w:top w:val="nil"/>
              <w:left w:val="nil"/>
              <w:bottom w:val="single" w:sz="8" w:space="0" w:color="000000"/>
              <w:right w:val="nil"/>
            </w:tcBorders>
            <w:shd w:val="clear" w:color="auto" w:fill="E2EFDA"/>
            <w:tcMar>
              <w:top w:w="60" w:type="dxa"/>
              <w:left w:w="100" w:type="dxa"/>
              <w:bottom w:w="60" w:type="dxa"/>
              <w:right w:w="100" w:type="dxa"/>
            </w:tcMar>
          </w:tcPr>
          <w:p w14:paraId="16D32ABA" w14:textId="77777777" w:rsidR="009D2FD2" w:rsidRDefault="00000000">
            <w:pPr>
              <w:pStyle w:val="Tablacelda"/>
              <w:jc w:val="right"/>
            </w:pPr>
            <w:r>
              <w:t>648,4</w:t>
            </w:r>
          </w:p>
        </w:tc>
        <w:tc>
          <w:tcPr>
            <w:tcW w:w="1150" w:type="dxa"/>
            <w:tcBorders>
              <w:top w:val="nil"/>
              <w:left w:val="nil"/>
              <w:bottom w:val="single" w:sz="8" w:space="0" w:color="000000"/>
              <w:right w:val="nil"/>
            </w:tcBorders>
            <w:shd w:val="clear" w:color="auto" w:fill="E2EFDA"/>
            <w:tcMar>
              <w:top w:w="60" w:type="dxa"/>
              <w:left w:w="100" w:type="dxa"/>
              <w:bottom w:w="60" w:type="dxa"/>
              <w:right w:w="100" w:type="dxa"/>
            </w:tcMar>
          </w:tcPr>
          <w:p w14:paraId="3E1AD4D2" w14:textId="77777777" w:rsidR="009D2FD2" w:rsidRDefault="00000000">
            <w:pPr>
              <w:pStyle w:val="Tablacelda"/>
              <w:jc w:val="right"/>
            </w:pPr>
            <w:r>
              <w:t>745,0</w:t>
            </w:r>
          </w:p>
        </w:tc>
        <w:tc>
          <w:tcPr>
            <w:tcW w:w="1250" w:type="dxa"/>
            <w:tcBorders>
              <w:top w:val="nil"/>
              <w:left w:val="nil"/>
              <w:bottom w:val="single" w:sz="8" w:space="0" w:color="000000"/>
              <w:right w:val="nil"/>
            </w:tcBorders>
            <w:shd w:val="clear" w:color="auto" w:fill="E2EFDA"/>
            <w:tcMar>
              <w:top w:w="60" w:type="dxa"/>
              <w:left w:w="100" w:type="dxa"/>
              <w:bottom w:w="60" w:type="dxa"/>
              <w:right w:w="100" w:type="dxa"/>
            </w:tcMar>
          </w:tcPr>
          <w:p w14:paraId="26635F6C" w14:textId="77777777" w:rsidR="009D2FD2" w:rsidRDefault="00000000">
            <w:pPr>
              <w:pStyle w:val="Tablacelda"/>
              <w:jc w:val="right"/>
            </w:pPr>
            <w:r>
              <w:t>691,6</w:t>
            </w:r>
          </w:p>
        </w:tc>
        <w:tc>
          <w:tcPr>
            <w:tcW w:w="1250" w:type="dxa"/>
            <w:tcBorders>
              <w:top w:val="nil"/>
              <w:left w:val="nil"/>
              <w:bottom w:val="single" w:sz="8" w:space="0" w:color="000000"/>
              <w:right w:val="nil"/>
            </w:tcBorders>
            <w:shd w:val="clear" w:color="auto" w:fill="E2EFDA"/>
            <w:tcMar>
              <w:top w:w="60" w:type="dxa"/>
              <w:left w:w="100" w:type="dxa"/>
              <w:bottom w:w="60" w:type="dxa"/>
              <w:right w:w="100" w:type="dxa"/>
            </w:tcMar>
          </w:tcPr>
          <w:p w14:paraId="4D5071A0" w14:textId="77777777" w:rsidR="009D2FD2" w:rsidRDefault="00000000">
            <w:pPr>
              <w:pStyle w:val="Tablacelda"/>
              <w:jc w:val="right"/>
            </w:pPr>
            <w:r>
              <w:t>813,7</w:t>
            </w:r>
          </w:p>
        </w:tc>
        <w:tc>
          <w:tcPr>
            <w:tcW w:w="1560" w:type="dxa"/>
            <w:tcBorders>
              <w:top w:val="nil"/>
              <w:left w:val="nil"/>
              <w:bottom w:val="single" w:sz="8" w:space="0" w:color="000000"/>
              <w:right w:val="nil"/>
            </w:tcBorders>
            <w:shd w:val="clear" w:color="auto" w:fill="E2EFDA"/>
            <w:tcMar>
              <w:top w:w="60" w:type="dxa"/>
              <w:left w:w="100" w:type="dxa"/>
              <w:bottom w:w="60" w:type="dxa"/>
              <w:right w:w="100" w:type="dxa"/>
            </w:tcMar>
          </w:tcPr>
          <w:p w14:paraId="2223D43A" w14:textId="77777777" w:rsidR="009D2FD2" w:rsidRDefault="00000000">
            <w:pPr>
              <w:pStyle w:val="Tablacelda"/>
              <w:jc w:val="right"/>
            </w:pPr>
            <w:r>
              <w:t>778,3</w:t>
            </w:r>
          </w:p>
        </w:tc>
      </w:tr>
    </w:tbl>
    <w:p w14:paraId="119D3866" w14:textId="77777777" w:rsidR="009D2FD2" w:rsidRDefault="009D2FD2">
      <w:pPr>
        <w:spacing w:after="60"/>
      </w:pPr>
    </w:p>
    <w:p w14:paraId="578955F4" w14:textId="77777777" w:rsidR="009D2FD2" w:rsidRDefault="00000000">
      <w:r>
        <w:t>Los intereses del crédito son el costo de financiarse y equivalen a COP 288,4 millones valorados a la TRM spot, un 44 % del total del escenario spot. El efecto cambiario es el costo adicional por endeudarse en otra moneda: COP 96,6 millones en el escenario base y COP 129,9 millones en promedio en la simulación. el interés representa el 72 % de la primera cuota y solo el 3 % de la última. Como la cuota en dólares es constante, toda la variación de la cuota en pesos de un trimestre a otro proviene de la tasa de cambio.</w:t>
      </w:r>
    </w:p>
    <w:p w14:paraId="4AB3549F" w14:textId="77777777" w:rsidR="009D2FD2" w:rsidRDefault="00000000">
      <w:pPr>
        <w:pStyle w:val="TtuloAPAnivel2"/>
      </w:pPr>
      <w:r>
        <w:lastRenderedPageBreak/>
        <w:t>Efecto sobre el flujo de caja</w:t>
      </w:r>
    </w:p>
    <w:p w14:paraId="5CC22F94" w14:textId="77777777" w:rsidR="00D20524" w:rsidRDefault="00000000">
      <w:pPr>
        <w:pStyle w:val="Rtulotablaofigura"/>
      </w:pPr>
      <w:r>
        <w:rPr>
          <w:b/>
          <w:bCs/>
        </w:rPr>
        <w:t>Tabla 11</w:t>
      </w:r>
    </w:p>
    <w:p w14:paraId="20A8161C" w14:textId="77777777" w:rsidR="00D20524" w:rsidRDefault="00000000">
      <w:pPr>
        <w:pStyle w:val="Ttulotablaofigura"/>
      </w:pPr>
      <w:r>
        <w:t>Pago anual del crédito en pesos por escenario</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760"/>
        <w:gridCol w:w="1400"/>
        <w:gridCol w:w="1400"/>
        <w:gridCol w:w="1400"/>
        <w:gridCol w:w="1400"/>
      </w:tblGrid>
      <w:tr w:rsidR="009D2FD2" w14:paraId="72D1D851" w14:textId="77777777">
        <w:trPr>
          <w:tblHeader/>
        </w:trPr>
        <w:tc>
          <w:tcPr>
            <w:tcW w:w="37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B6505BD" w14:textId="77777777" w:rsidR="009D2FD2" w:rsidRDefault="00000000">
            <w:pPr>
              <w:pStyle w:val="Tablacelda"/>
            </w:pPr>
            <w:r>
              <w:rPr>
                <w:b/>
                <w:bCs/>
              </w:rPr>
              <w:t>Pago anual del crédito (COP millones)</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D9A0E23" w14:textId="77777777" w:rsidR="009D2FD2" w:rsidRDefault="00000000">
            <w:pPr>
              <w:pStyle w:val="Tablacelda"/>
              <w:jc w:val="right"/>
            </w:pPr>
            <w:r>
              <w:rPr>
                <w:b/>
                <w:bCs/>
              </w:rPr>
              <w:t>Año 1</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A1D0C8A" w14:textId="77777777" w:rsidR="009D2FD2" w:rsidRDefault="00000000">
            <w:pPr>
              <w:pStyle w:val="Tablacelda"/>
              <w:jc w:val="right"/>
            </w:pPr>
            <w:r>
              <w:rPr>
                <w:b/>
                <w:bCs/>
              </w:rPr>
              <w:t>Año 3</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776C9FA" w14:textId="77777777" w:rsidR="009D2FD2" w:rsidRDefault="00000000">
            <w:pPr>
              <w:pStyle w:val="Tablacelda"/>
              <w:jc w:val="right"/>
            </w:pPr>
            <w:r>
              <w:rPr>
                <w:b/>
                <w:bCs/>
              </w:rPr>
              <w:t>Año 5</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32F2601" w14:textId="77777777" w:rsidR="009D2FD2" w:rsidRDefault="00000000">
            <w:pPr>
              <w:pStyle w:val="Tablacelda"/>
              <w:jc w:val="right"/>
            </w:pPr>
            <w:r>
              <w:rPr>
                <w:b/>
                <w:bCs/>
              </w:rPr>
              <w:t>Año 10</w:t>
            </w:r>
          </w:p>
        </w:tc>
      </w:tr>
      <w:tr w:rsidR="009D2FD2" w14:paraId="6D8F2D60" w14:textId="77777777">
        <w:tc>
          <w:tcPr>
            <w:tcW w:w="3760" w:type="dxa"/>
            <w:tcBorders>
              <w:top w:val="nil"/>
              <w:left w:val="nil"/>
              <w:bottom w:val="nil"/>
              <w:right w:val="nil"/>
            </w:tcBorders>
            <w:tcMar>
              <w:top w:w="60" w:type="dxa"/>
              <w:left w:w="100" w:type="dxa"/>
              <w:bottom w:w="60" w:type="dxa"/>
              <w:right w:w="100" w:type="dxa"/>
            </w:tcMar>
          </w:tcPr>
          <w:p w14:paraId="77648140" w14:textId="77777777" w:rsidR="009D2FD2" w:rsidRDefault="00000000">
            <w:pPr>
              <w:pStyle w:val="Tablacelda"/>
            </w:pPr>
            <w:r>
              <w:t>TRM spot</w:t>
            </w:r>
          </w:p>
        </w:tc>
        <w:tc>
          <w:tcPr>
            <w:tcW w:w="1400" w:type="dxa"/>
            <w:tcBorders>
              <w:top w:val="nil"/>
              <w:left w:val="nil"/>
              <w:bottom w:val="nil"/>
              <w:right w:val="nil"/>
            </w:tcBorders>
            <w:tcMar>
              <w:top w:w="60" w:type="dxa"/>
              <w:left w:w="100" w:type="dxa"/>
              <w:bottom w:w="60" w:type="dxa"/>
              <w:right w:w="100" w:type="dxa"/>
            </w:tcMar>
          </w:tcPr>
          <w:p w14:paraId="65BF6EC1" w14:textId="77777777" w:rsidR="009D2FD2" w:rsidRDefault="00000000">
            <w:pPr>
              <w:pStyle w:val="Tablacelda"/>
              <w:jc w:val="right"/>
            </w:pPr>
            <w:r>
              <w:t>64,8</w:t>
            </w:r>
          </w:p>
        </w:tc>
        <w:tc>
          <w:tcPr>
            <w:tcW w:w="1400" w:type="dxa"/>
            <w:tcBorders>
              <w:top w:val="nil"/>
              <w:left w:val="nil"/>
              <w:bottom w:val="nil"/>
              <w:right w:val="nil"/>
            </w:tcBorders>
            <w:tcMar>
              <w:top w:w="60" w:type="dxa"/>
              <w:left w:w="100" w:type="dxa"/>
              <w:bottom w:w="60" w:type="dxa"/>
              <w:right w:w="100" w:type="dxa"/>
            </w:tcMar>
          </w:tcPr>
          <w:p w14:paraId="7C08E1B6" w14:textId="77777777" w:rsidR="009D2FD2" w:rsidRDefault="00000000">
            <w:pPr>
              <w:pStyle w:val="Tablacelda"/>
              <w:jc w:val="right"/>
            </w:pPr>
            <w:r>
              <w:t>64,8</w:t>
            </w:r>
          </w:p>
        </w:tc>
        <w:tc>
          <w:tcPr>
            <w:tcW w:w="1400" w:type="dxa"/>
            <w:tcBorders>
              <w:top w:val="nil"/>
              <w:left w:val="nil"/>
              <w:bottom w:val="nil"/>
              <w:right w:val="nil"/>
            </w:tcBorders>
            <w:tcMar>
              <w:top w:w="60" w:type="dxa"/>
              <w:left w:w="100" w:type="dxa"/>
              <w:bottom w:w="60" w:type="dxa"/>
              <w:right w:w="100" w:type="dxa"/>
            </w:tcMar>
          </w:tcPr>
          <w:p w14:paraId="7BC81021" w14:textId="77777777" w:rsidR="009D2FD2" w:rsidRDefault="00000000">
            <w:pPr>
              <w:pStyle w:val="Tablacelda"/>
              <w:jc w:val="right"/>
            </w:pPr>
            <w:r>
              <w:t>64,8</w:t>
            </w:r>
          </w:p>
        </w:tc>
        <w:tc>
          <w:tcPr>
            <w:tcW w:w="1400" w:type="dxa"/>
            <w:tcBorders>
              <w:top w:val="nil"/>
              <w:left w:val="nil"/>
              <w:bottom w:val="nil"/>
              <w:right w:val="nil"/>
            </w:tcBorders>
            <w:tcMar>
              <w:top w:w="60" w:type="dxa"/>
              <w:left w:w="100" w:type="dxa"/>
              <w:bottom w:w="60" w:type="dxa"/>
              <w:right w:w="100" w:type="dxa"/>
            </w:tcMar>
          </w:tcPr>
          <w:p w14:paraId="451FBC7F" w14:textId="77777777" w:rsidR="009D2FD2" w:rsidRDefault="00000000">
            <w:pPr>
              <w:pStyle w:val="Tablacelda"/>
              <w:jc w:val="right"/>
            </w:pPr>
            <w:r>
              <w:t>64,8</w:t>
            </w:r>
          </w:p>
        </w:tc>
      </w:tr>
      <w:tr w:rsidR="009D2FD2" w14:paraId="03A7532B" w14:textId="77777777">
        <w:tc>
          <w:tcPr>
            <w:tcW w:w="3760" w:type="dxa"/>
            <w:tcBorders>
              <w:top w:val="nil"/>
              <w:left w:val="nil"/>
              <w:bottom w:val="nil"/>
              <w:right w:val="nil"/>
            </w:tcBorders>
            <w:tcMar>
              <w:top w:w="60" w:type="dxa"/>
              <w:left w:w="100" w:type="dxa"/>
              <w:bottom w:w="60" w:type="dxa"/>
              <w:right w:w="100" w:type="dxa"/>
            </w:tcMar>
          </w:tcPr>
          <w:p w14:paraId="28CCA287" w14:textId="77777777" w:rsidR="009D2FD2" w:rsidRDefault="00000000">
            <w:pPr>
              <w:pStyle w:val="Tablacelda"/>
            </w:pPr>
            <w:r>
              <w:t>Escenario base</w:t>
            </w:r>
          </w:p>
        </w:tc>
        <w:tc>
          <w:tcPr>
            <w:tcW w:w="1400" w:type="dxa"/>
            <w:tcBorders>
              <w:top w:val="nil"/>
              <w:left w:val="nil"/>
              <w:bottom w:val="nil"/>
              <w:right w:val="nil"/>
            </w:tcBorders>
            <w:tcMar>
              <w:top w:w="60" w:type="dxa"/>
              <w:left w:w="100" w:type="dxa"/>
              <w:bottom w:w="60" w:type="dxa"/>
              <w:right w:w="100" w:type="dxa"/>
            </w:tcMar>
          </w:tcPr>
          <w:p w14:paraId="4D83E930" w14:textId="77777777" w:rsidR="009D2FD2" w:rsidRDefault="00000000">
            <w:pPr>
              <w:pStyle w:val="Tablacelda"/>
              <w:jc w:val="right"/>
            </w:pPr>
            <w:r>
              <w:t>67,3</w:t>
            </w:r>
          </w:p>
        </w:tc>
        <w:tc>
          <w:tcPr>
            <w:tcW w:w="1400" w:type="dxa"/>
            <w:tcBorders>
              <w:top w:val="nil"/>
              <w:left w:val="nil"/>
              <w:bottom w:val="nil"/>
              <w:right w:val="nil"/>
            </w:tcBorders>
            <w:tcMar>
              <w:top w:w="60" w:type="dxa"/>
              <w:left w:w="100" w:type="dxa"/>
              <w:bottom w:w="60" w:type="dxa"/>
              <w:right w:w="100" w:type="dxa"/>
            </w:tcMar>
          </w:tcPr>
          <w:p w14:paraId="5895AF9A" w14:textId="77777777" w:rsidR="009D2FD2" w:rsidRDefault="00000000">
            <w:pPr>
              <w:pStyle w:val="Tablacelda"/>
              <w:jc w:val="right"/>
            </w:pPr>
            <w:r>
              <w:t>71,0</w:t>
            </w:r>
          </w:p>
        </w:tc>
        <w:tc>
          <w:tcPr>
            <w:tcW w:w="1400" w:type="dxa"/>
            <w:tcBorders>
              <w:top w:val="nil"/>
              <w:left w:val="nil"/>
              <w:bottom w:val="nil"/>
              <w:right w:val="nil"/>
            </w:tcBorders>
            <w:tcMar>
              <w:top w:w="60" w:type="dxa"/>
              <w:left w:w="100" w:type="dxa"/>
              <w:bottom w:w="60" w:type="dxa"/>
              <w:right w:w="100" w:type="dxa"/>
            </w:tcMar>
          </w:tcPr>
          <w:p w14:paraId="017E86A2" w14:textId="77777777" w:rsidR="009D2FD2" w:rsidRDefault="00000000">
            <w:pPr>
              <w:pStyle w:val="Tablacelda"/>
              <w:jc w:val="right"/>
            </w:pPr>
            <w:r>
              <w:t>73,8</w:t>
            </w:r>
          </w:p>
        </w:tc>
        <w:tc>
          <w:tcPr>
            <w:tcW w:w="1400" w:type="dxa"/>
            <w:tcBorders>
              <w:top w:val="nil"/>
              <w:left w:val="nil"/>
              <w:bottom w:val="nil"/>
              <w:right w:val="nil"/>
            </w:tcBorders>
            <w:tcMar>
              <w:top w:w="60" w:type="dxa"/>
              <w:left w:w="100" w:type="dxa"/>
              <w:bottom w:w="60" w:type="dxa"/>
              <w:right w:w="100" w:type="dxa"/>
            </w:tcMar>
          </w:tcPr>
          <w:p w14:paraId="6DFFA69A" w14:textId="77777777" w:rsidR="009D2FD2" w:rsidRDefault="00000000">
            <w:pPr>
              <w:pStyle w:val="Tablacelda"/>
              <w:jc w:val="right"/>
            </w:pPr>
            <w:r>
              <w:t>81,1</w:t>
            </w:r>
          </w:p>
        </w:tc>
      </w:tr>
      <w:tr w:rsidR="009D2FD2" w14:paraId="7A5CE18F" w14:textId="77777777">
        <w:tc>
          <w:tcPr>
            <w:tcW w:w="3760" w:type="dxa"/>
            <w:tcBorders>
              <w:top w:val="nil"/>
              <w:left w:val="nil"/>
              <w:bottom w:val="nil"/>
              <w:right w:val="nil"/>
            </w:tcBorders>
            <w:tcMar>
              <w:top w:w="60" w:type="dxa"/>
              <w:left w:w="100" w:type="dxa"/>
              <w:bottom w:w="60" w:type="dxa"/>
              <w:right w:w="100" w:type="dxa"/>
            </w:tcMar>
          </w:tcPr>
          <w:p w14:paraId="452E42F5" w14:textId="77777777" w:rsidR="009D2FD2" w:rsidRDefault="00000000">
            <w:pPr>
              <w:pStyle w:val="Tablacelda"/>
            </w:pPr>
            <w:r>
              <w:t>Escenario peso fuerte</w:t>
            </w:r>
          </w:p>
        </w:tc>
        <w:tc>
          <w:tcPr>
            <w:tcW w:w="1400" w:type="dxa"/>
            <w:tcBorders>
              <w:top w:val="nil"/>
              <w:left w:val="nil"/>
              <w:bottom w:val="nil"/>
              <w:right w:val="nil"/>
            </w:tcBorders>
            <w:tcMar>
              <w:top w:w="60" w:type="dxa"/>
              <w:left w:w="100" w:type="dxa"/>
              <w:bottom w:w="60" w:type="dxa"/>
              <w:right w:w="100" w:type="dxa"/>
            </w:tcMar>
          </w:tcPr>
          <w:p w14:paraId="1ACB7C89" w14:textId="77777777" w:rsidR="009D2FD2" w:rsidRDefault="00000000">
            <w:pPr>
              <w:pStyle w:val="Tablacelda"/>
              <w:jc w:val="right"/>
            </w:pPr>
            <w:r>
              <w:t>64,2</w:t>
            </w:r>
          </w:p>
        </w:tc>
        <w:tc>
          <w:tcPr>
            <w:tcW w:w="1400" w:type="dxa"/>
            <w:tcBorders>
              <w:top w:val="nil"/>
              <w:left w:val="nil"/>
              <w:bottom w:val="nil"/>
              <w:right w:val="nil"/>
            </w:tcBorders>
            <w:tcMar>
              <w:top w:w="60" w:type="dxa"/>
              <w:left w:w="100" w:type="dxa"/>
              <w:bottom w:w="60" w:type="dxa"/>
              <w:right w:w="100" w:type="dxa"/>
            </w:tcMar>
          </w:tcPr>
          <w:p w14:paraId="0B754AD8" w14:textId="77777777" w:rsidR="009D2FD2" w:rsidRDefault="00000000">
            <w:pPr>
              <w:pStyle w:val="Tablacelda"/>
              <w:jc w:val="right"/>
            </w:pPr>
            <w:r>
              <w:t>65,8</w:t>
            </w:r>
          </w:p>
        </w:tc>
        <w:tc>
          <w:tcPr>
            <w:tcW w:w="1400" w:type="dxa"/>
            <w:tcBorders>
              <w:top w:val="nil"/>
              <w:left w:val="nil"/>
              <w:bottom w:val="nil"/>
              <w:right w:val="nil"/>
            </w:tcBorders>
            <w:tcMar>
              <w:top w:w="60" w:type="dxa"/>
              <w:left w:w="100" w:type="dxa"/>
              <w:bottom w:w="60" w:type="dxa"/>
              <w:right w:w="100" w:type="dxa"/>
            </w:tcMar>
          </w:tcPr>
          <w:p w14:paraId="2DC5075A" w14:textId="77777777" w:rsidR="009D2FD2" w:rsidRDefault="00000000">
            <w:pPr>
              <w:pStyle w:val="Tablacelda"/>
              <w:jc w:val="right"/>
            </w:pPr>
            <w:r>
              <w:t>68,3</w:t>
            </w:r>
          </w:p>
        </w:tc>
        <w:tc>
          <w:tcPr>
            <w:tcW w:w="1400" w:type="dxa"/>
            <w:tcBorders>
              <w:top w:val="nil"/>
              <w:left w:val="nil"/>
              <w:bottom w:val="nil"/>
              <w:right w:val="nil"/>
            </w:tcBorders>
            <w:tcMar>
              <w:top w:w="60" w:type="dxa"/>
              <w:left w:w="100" w:type="dxa"/>
              <w:bottom w:w="60" w:type="dxa"/>
              <w:right w:w="100" w:type="dxa"/>
            </w:tcMar>
          </w:tcPr>
          <w:p w14:paraId="7AB7DB16" w14:textId="77777777" w:rsidR="009D2FD2" w:rsidRDefault="00000000">
            <w:pPr>
              <w:pStyle w:val="Tablacelda"/>
              <w:jc w:val="right"/>
            </w:pPr>
            <w:r>
              <w:t>75,1</w:t>
            </w:r>
          </w:p>
        </w:tc>
      </w:tr>
      <w:tr w:rsidR="009D2FD2" w14:paraId="2E7BB4A1" w14:textId="77777777">
        <w:tc>
          <w:tcPr>
            <w:tcW w:w="3760" w:type="dxa"/>
            <w:tcBorders>
              <w:top w:val="nil"/>
              <w:left w:val="nil"/>
              <w:bottom w:val="single" w:sz="8" w:space="0" w:color="000000"/>
              <w:right w:val="nil"/>
            </w:tcBorders>
            <w:tcMar>
              <w:top w:w="60" w:type="dxa"/>
              <w:left w:w="100" w:type="dxa"/>
              <w:bottom w:w="60" w:type="dxa"/>
              <w:right w:w="100" w:type="dxa"/>
            </w:tcMar>
          </w:tcPr>
          <w:p w14:paraId="584633D8" w14:textId="77777777" w:rsidR="009D2FD2" w:rsidRDefault="00000000">
            <w:pPr>
              <w:pStyle w:val="Tablacelda"/>
            </w:pPr>
            <w:r>
              <w:t>Escenario peso débil</w:t>
            </w:r>
          </w:p>
        </w:tc>
        <w:tc>
          <w:tcPr>
            <w:tcW w:w="1400" w:type="dxa"/>
            <w:tcBorders>
              <w:top w:val="nil"/>
              <w:left w:val="nil"/>
              <w:bottom w:val="single" w:sz="8" w:space="0" w:color="000000"/>
              <w:right w:val="nil"/>
            </w:tcBorders>
            <w:tcMar>
              <w:top w:w="60" w:type="dxa"/>
              <w:left w:w="100" w:type="dxa"/>
              <w:bottom w:w="60" w:type="dxa"/>
              <w:right w:w="100" w:type="dxa"/>
            </w:tcMar>
          </w:tcPr>
          <w:p w14:paraId="183FB9EA" w14:textId="77777777" w:rsidR="009D2FD2" w:rsidRDefault="00000000">
            <w:pPr>
              <w:pStyle w:val="Tablacelda"/>
              <w:jc w:val="right"/>
            </w:pPr>
            <w:r>
              <w:t>71,4</w:t>
            </w:r>
          </w:p>
        </w:tc>
        <w:tc>
          <w:tcPr>
            <w:tcW w:w="1400" w:type="dxa"/>
            <w:tcBorders>
              <w:top w:val="nil"/>
              <w:left w:val="nil"/>
              <w:bottom w:val="single" w:sz="8" w:space="0" w:color="000000"/>
              <w:right w:val="nil"/>
            </w:tcBorders>
            <w:tcMar>
              <w:top w:w="60" w:type="dxa"/>
              <w:left w:w="100" w:type="dxa"/>
              <w:bottom w:w="60" w:type="dxa"/>
              <w:right w:w="100" w:type="dxa"/>
            </w:tcMar>
          </w:tcPr>
          <w:p w14:paraId="5FCC14AE" w14:textId="77777777" w:rsidR="009D2FD2" w:rsidRDefault="00000000">
            <w:pPr>
              <w:pStyle w:val="Tablacelda"/>
              <w:jc w:val="right"/>
            </w:pPr>
            <w:r>
              <w:t>77,8</w:t>
            </w:r>
          </w:p>
        </w:tc>
        <w:tc>
          <w:tcPr>
            <w:tcW w:w="1400" w:type="dxa"/>
            <w:tcBorders>
              <w:top w:val="nil"/>
              <w:left w:val="nil"/>
              <w:bottom w:val="single" w:sz="8" w:space="0" w:color="000000"/>
              <w:right w:val="nil"/>
            </w:tcBorders>
            <w:tcMar>
              <w:top w:w="60" w:type="dxa"/>
              <w:left w:w="100" w:type="dxa"/>
              <w:bottom w:w="60" w:type="dxa"/>
              <w:right w:w="100" w:type="dxa"/>
            </w:tcMar>
          </w:tcPr>
          <w:p w14:paraId="33424CC6" w14:textId="77777777" w:rsidR="009D2FD2" w:rsidRDefault="00000000">
            <w:pPr>
              <w:pStyle w:val="Tablacelda"/>
              <w:jc w:val="right"/>
            </w:pPr>
            <w:r>
              <w:t>80,8</w:t>
            </w:r>
          </w:p>
        </w:tc>
        <w:tc>
          <w:tcPr>
            <w:tcW w:w="1400" w:type="dxa"/>
            <w:tcBorders>
              <w:top w:val="nil"/>
              <w:left w:val="nil"/>
              <w:bottom w:val="single" w:sz="8" w:space="0" w:color="000000"/>
              <w:right w:val="nil"/>
            </w:tcBorders>
            <w:tcMar>
              <w:top w:w="60" w:type="dxa"/>
              <w:left w:w="100" w:type="dxa"/>
              <w:bottom w:w="60" w:type="dxa"/>
              <w:right w:w="100" w:type="dxa"/>
            </w:tcMar>
          </w:tcPr>
          <w:p w14:paraId="1188218C" w14:textId="77777777" w:rsidR="009D2FD2" w:rsidRDefault="00000000">
            <w:pPr>
              <w:pStyle w:val="Tablacelda"/>
              <w:jc w:val="right"/>
            </w:pPr>
            <w:r>
              <w:t>88,9</w:t>
            </w:r>
          </w:p>
        </w:tc>
      </w:tr>
    </w:tbl>
    <w:p w14:paraId="5ACD43E0" w14:textId="77777777" w:rsidR="009D2FD2" w:rsidRDefault="009D2FD2">
      <w:pPr>
        <w:spacing w:after="60"/>
      </w:pPr>
    </w:p>
    <w:p w14:paraId="0FB1DBD8" w14:textId="77777777" w:rsidR="009D2FD2" w:rsidRDefault="00000000">
      <w:r>
        <w:t>En dólares, la empresa paga lo mismo cada año: USD 20.424. En pesos, el precio crece con la TRM. En el escenario base el pago anual pasa de COP 67,3 millones en el primer año a COP 81,1 millones en el décimo, unos COP 16 millones más que con la TRM spot, y en el escenario de riesgo alto llega a COP 88.9 millones. Si los ingresos de la maquinaria crecen al mismo ritmo de la inflación colombiana, se compensaría parte del aumento, pero una devaluación brusca, elevaría la cuota en pocos trimestres sin posibilidad de que los ingresos se ajusten al  mismo paso. Estas devaluaciones rápidas ya han pasado anteriormente, como en 2022 y 2015.</w:t>
      </w:r>
    </w:p>
    <w:p w14:paraId="354B9D6D" w14:textId="77777777" w:rsidR="009D2FD2" w:rsidRDefault="00000000">
      <w:pPr>
        <w:pStyle w:val="TtuloAPAnivel2"/>
      </w:pPr>
      <w:r>
        <w:t>Obligación estable en dólares frente a obligación variable en pesos</w:t>
      </w:r>
    </w:p>
    <w:p w14:paraId="30E31BAA" w14:textId="77777777" w:rsidR="009D2FD2" w:rsidRDefault="00000000">
      <w:r>
        <w:t xml:space="preserve">Desde el punto de vista d un prestamista estado unidense, el crédito es una obligación estable, con tasa fija, 40 cuotas iguales y un costo de 13,65 % anual conocido desde el primer día. Desde el punto de vista de la empresa colombiana, esa misma obligación se vuelve variable y, creciente en pesos, con un costo efectivo que en la simulación va de 9 % a 26 % anual. La diferencia entre las dos miradas es el riesgo cambiario, y crece con el plazo: la banda de resultados posibles se abre cada año, por lo que las cuotas de los años finales son las más inciertas. Comparado con un crédito en pesos, el crédito en dólares solo es conveniente si la tasa </w:t>
      </w:r>
      <w:r>
        <w:lastRenderedPageBreak/>
        <w:t>local para un crédito con plazo similar supera el costo esperado en pesos del crédito en dólares o si la empresa cubre el riesgo, por ejemplo con contratos forward.</w:t>
      </w:r>
    </w:p>
    <w:p w14:paraId="13A92406" w14:textId="77777777" w:rsidR="009D2FD2" w:rsidRDefault="00000000">
      <w:pPr>
        <w:pStyle w:val="TtuloAPAnivel2"/>
      </w:pPr>
      <w:r>
        <w:t xml:space="preserve">Conclusiones de la conversión de crédito a pesos colombianos </w:t>
      </w:r>
    </w:p>
    <w:p w14:paraId="5AD7B6CC" w14:textId="77777777" w:rsidR="009D2FD2" w:rsidRDefault="00000000">
      <w:r>
        <w:t>El crédito cuesta 13,65 % anual en dólares, pero su costo esperado en pesos sube a alrededor de 17 % anual, porque el análisis fundamental y la historia de la TRM apuntan a una depreciación gradual del peso. La mayor parte del sobrecosto proviene de la tasa de cambio aplicada al capital al final del plazo, y no de los intereses.</w:t>
      </w:r>
    </w:p>
    <w:p w14:paraId="208C87ED" w14:textId="77777777" w:rsidR="009D2FD2" w:rsidRDefault="00000000">
      <w:pPr>
        <w:pStyle w:val="TtuloAPAnivel1"/>
      </w:pPr>
      <w:r>
        <w:t>B. Diseño y evaluación de la cobertura forward</w:t>
      </w:r>
    </w:p>
    <w:p w14:paraId="4A476471" w14:textId="77777777" w:rsidR="009D2FD2" w:rsidRDefault="00000000">
      <w:r>
        <w:t xml:space="preserve">Para reducir la exposición al risgo, se plantea que, una vez terminado el sexto año del crédito, la empresa cubra el 75 % de los pagos en dólares que aún le faltan por pagar con cuatro forwards consecutivos de un año, y deje el 25 % restante expuesto a la tasa spot. </w:t>
      </w:r>
    </w:p>
    <w:p w14:paraId="2FE5189F" w14:textId="77777777" w:rsidR="009D2FD2" w:rsidRDefault="00000000">
      <w:r>
        <w:t>Al cierre del año 6 (trimestre 24) quedan 16 cuotas de USD 5.106,06, una exposición de USD 81.696,97. El 75 % equivale a USD 61.272,73. Como las cuotas anuales son iguales, ese valor se reparte en cuatro forwards de USD 15.318,18.</w:t>
      </w:r>
    </w:p>
    <w:p w14:paraId="02EE4FE0" w14:textId="77777777" w:rsidR="00D20524" w:rsidRDefault="00000000">
      <w:pPr>
        <w:pStyle w:val="Rtulotablaofigura"/>
      </w:pPr>
      <w:r>
        <w:rPr>
          <w:b/>
          <w:bCs/>
        </w:rPr>
        <w:t>Tabla 12</w:t>
      </w:r>
    </w:p>
    <w:p w14:paraId="0B7AFC20" w14:textId="77777777" w:rsidR="00D20524" w:rsidRDefault="00000000">
      <w:pPr>
        <w:pStyle w:val="Ttulotablaofigura"/>
      </w:pPr>
      <w:r>
        <w:t>Estructura de los forwards de cobertura</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1100"/>
        <w:gridCol w:w="700"/>
        <w:gridCol w:w="1600"/>
        <w:gridCol w:w="1450"/>
        <w:gridCol w:w="1350"/>
        <w:gridCol w:w="1650"/>
        <w:gridCol w:w="1510"/>
      </w:tblGrid>
      <w:tr w:rsidR="009D2FD2" w14:paraId="12E4D391" w14:textId="77777777">
        <w:trPr>
          <w:tblHeader/>
        </w:trPr>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8271080" w14:textId="77777777" w:rsidR="009D2FD2" w:rsidRDefault="00000000">
            <w:pPr>
              <w:pStyle w:val="Tablacelda"/>
            </w:pPr>
            <w:r>
              <w:rPr>
                <w:b/>
                <w:bCs/>
              </w:rPr>
              <w:t>Forward</w:t>
            </w:r>
          </w:p>
        </w:tc>
        <w:tc>
          <w:tcPr>
            <w:tcW w:w="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DB0C3CC" w14:textId="77777777" w:rsidR="009D2FD2" w:rsidRDefault="00000000">
            <w:pPr>
              <w:pStyle w:val="Tablacelda"/>
              <w:jc w:val="right"/>
            </w:pPr>
            <w:r>
              <w:rPr>
                <w:b/>
                <w:bCs/>
              </w:rPr>
              <w:t>Año</w:t>
            </w:r>
          </w:p>
        </w:tc>
        <w:tc>
          <w:tcPr>
            <w:tcW w:w="16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1545ABA" w14:textId="77777777" w:rsidR="009D2FD2" w:rsidRDefault="00000000">
            <w:pPr>
              <w:pStyle w:val="Tablacelda"/>
              <w:jc w:val="right"/>
            </w:pPr>
            <w:r>
              <w:rPr>
                <w:b/>
                <w:bCs/>
              </w:rPr>
              <w:t xml:space="preserve"> trimestres</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C2980E9" w14:textId="77777777" w:rsidR="009D2FD2" w:rsidRDefault="00000000">
            <w:pPr>
              <w:pStyle w:val="Tablacelda"/>
              <w:jc w:val="right"/>
            </w:pPr>
            <w:r>
              <w:rPr>
                <w:b/>
                <w:bCs/>
              </w:rPr>
              <w:t>Pagos del año (USD)</w:t>
            </w:r>
          </w:p>
        </w:tc>
        <w:tc>
          <w:tcPr>
            <w:tcW w:w="13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F4367B3" w14:textId="77777777" w:rsidR="00FC5CB9" w:rsidRDefault="00FC5CB9">
            <w:pPr>
              <w:pStyle w:val="Tablacelda"/>
              <w:jc w:val="right"/>
              <w:rPr>
                <w:b/>
                <w:bCs/>
              </w:rPr>
            </w:pPr>
            <w:r>
              <w:rPr>
                <w:b/>
                <w:bCs/>
              </w:rPr>
              <w:t>Cobertura</w:t>
            </w:r>
          </w:p>
          <w:p w14:paraId="37EE1E03" w14:textId="77777777" w:rsidR="009D2FD2" w:rsidRDefault="00000000">
            <w:pPr>
              <w:pStyle w:val="Tablacelda"/>
              <w:jc w:val="right"/>
            </w:pPr>
            <w:r>
              <w:rPr>
                <w:b/>
                <w:bCs/>
              </w:rPr>
              <w:t>(USD)</w:t>
            </w:r>
          </w:p>
        </w:tc>
        <w:tc>
          <w:tcPr>
            <w:tcW w:w="16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50226B7" w14:textId="77777777" w:rsidR="009D2FD2" w:rsidRDefault="00FC5CB9">
            <w:pPr>
              <w:pStyle w:val="Tablacelda"/>
              <w:jc w:val="right"/>
            </w:pPr>
            <w:r>
              <w:rPr>
                <w:b/>
                <w:bCs/>
              </w:rPr>
              <w:t>Pago pendiente (USD)</w:t>
            </w:r>
          </w:p>
        </w:tc>
        <w:tc>
          <w:tcPr>
            <w:tcW w:w="151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E941B36" w14:textId="77777777" w:rsidR="009D2FD2" w:rsidRDefault="00000000">
            <w:pPr>
              <w:pStyle w:val="Tablacelda"/>
              <w:jc w:val="right"/>
            </w:pPr>
            <w:r>
              <w:rPr>
                <w:b/>
                <w:bCs/>
              </w:rPr>
              <w:t>Saldo de capital al pactar (USD)</w:t>
            </w:r>
          </w:p>
        </w:tc>
      </w:tr>
      <w:tr w:rsidR="009D2FD2" w14:paraId="3FB2B601" w14:textId="77777777">
        <w:tc>
          <w:tcPr>
            <w:tcW w:w="1100" w:type="dxa"/>
            <w:tcBorders>
              <w:top w:val="nil"/>
              <w:left w:val="nil"/>
              <w:bottom w:val="nil"/>
              <w:right w:val="nil"/>
            </w:tcBorders>
            <w:tcMar>
              <w:top w:w="60" w:type="dxa"/>
              <w:left w:w="100" w:type="dxa"/>
              <w:bottom w:w="60" w:type="dxa"/>
              <w:right w:w="100" w:type="dxa"/>
            </w:tcMar>
          </w:tcPr>
          <w:p w14:paraId="6F951958" w14:textId="77777777" w:rsidR="009D2FD2" w:rsidRDefault="00000000">
            <w:pPr>
              <w:pStyle w:val="Tablacelda"/>
            </w:pPr>
            <w:r>
              <w:t>1</w:t>
            </w:r>
          </w:p>
        </w:tc>
        <w:tc>
          <w:tcPr>
            <w:tcW w:w="700" w:type="dxa"/>
            <w:tcBorders>
              <w:top w:val="nil"/>
              <w:left w:val="nil"/>
              <w:bottom w:val="nil"/>
              <w:right w:val="nil"/>
            </w:tcBorders>
            <w:tcMar>
              <w:top w:w="60" w:type="dxa"/>
              <w:left w:w="100" w:type="dxa"/>
              <w:bottom w:w="60" w:type="dxa"/>
              <w:right w:w="100" w:type="dxa"/>
            </w:tcMar>
          </w:tcPr>
          <w:p w14:paraId="45FA4399" w14:textId="77777777" w:rsidR="009D2FD2" w:rsidRDefault="00000000">
            <w:pPr>
              <w:pStyle w:val="Tablacelda"/>
              <w:jc w:val="right"/>
            </w:pPr>
            <w:r>
              <w:t>7</w:t>
            </w:r>
          </w:p>
        </w:tc>
        <w:tc>
          <w:tcPr>
            <w:tcW w:w="1600" w:type="dxa"/>
            <w:tcBorders>
              <w:top w:val="nil"/>
              <w:left w:val="nil"/>
              <w:bottom w:val="nil"/>
              <w:right w:val="nil"/>
            </w:tcBorders>
            <w:tcMar>
              <w:top w:w="60" w:type="dxa"/>
              <w:left w:w="100" w:type="dxa"/>
              <w:bottom w:w="60" w:type="dxa"/>
              <w:right w:w="100" w:type="dxa"/>
            </w:tcMar>
          </w:tcPr>
          <w:p w14:paraId="2D001D86" w14:textId="77777777" w:rsidR="009D2FD2" w:rsidRDefault="00000000">
            <w:pPr>
              <w:pStyle w:val="Tablacelda"/>
              <w:jc w:val="right"/>
            </w:pPr>
            <w:r>
              <w:t>24 → 28</w:t>
            </w:r>
          </w:p>
        </w:tc>
        <w:tc>
          <w:tcPr>
            <w:tcW w:w="1450" w:type="dxa"/>
            <w:tcBorders>
              <w:top w:val="nil"/>
              <w:left w:val="nil"/>
              <w:bottom w:val="nil"/>
              <w:right w:val="nil"/>
            </w:tcBorders>
            <w:tcMar>
              <w:top w:w="60" w:type="dxa"/>
              <w:left w:w="100" w:type="dxa"/>
              <w:bottom w:w="60" w:type="dxa"/>
              <w:right w:w="100" w:type="dxa"/>
            </w:tcMar>
          </w:tcPr>
          <w:p w14:paraId="78796874" w14:textId="77777777" w:rsidR="009D2FD2" w:rsidRDefault="00000000">
            <w:pPr>
              <w:pStyle w:val="Tablacelda"/>
              <w:jc w:val="right"/>
            </w:pPr>
            <w:r>
              <w:t>20.424,24</w:t>
            </w:r>
          </w:p>
        </w:tc>
        <w:tc>
          <w:tcPr>
            <w:tcW w:w="1350" w:type="dxa"/>
            <w:tcBorders>
              <w:top w:val="nil"/>
              <w:left w:val="nil"/>
              <w:bottom w:val="nil"/>
              <w:right w:val="nil"/>
            </w:tcBorders>
            <w:tcMar>
              <w:top w:w="60" w:type="dxa"/>
              <w:left w:w="100" w:type="dxa"/>
              <w:bottom w:w="60" w:type="dxa"/>
              <w:right w:w="100" w:type="dxa"/>
            </w:tcMar>
          </w:tcPr>
          <w:p w14:paraId="64A934FB" w14:textId="77777777" w:rsidR="009D2FD2" w:rsidRDefault="00000000">
            <w:pPr>
              <w:pStyle w:val="Tablacelda"/>
              <w:jc w:val="right"/>
            </w:pPr>
            <w:r>
              <w:t>15.318,18</w:t>
            </w:r>
          </w:p>
        </w:tc>
        <w:tc>
          <w:tcPr>
            <w:tcW w:w="1650" w:type="dxa"/>
            <w:tcBorders>
              <w:top w:val="nil"/>
              <w:left w:val="nil"/>
              <w:bottom w:val="nil"/>
              <w:right w:val="nil"/>
            </w:tcBorders>
            <w:tcMar>
              <w:top w:w="60" w:type="dxa"/>
              <w:left w:w="100" w:type="dxa"/>
              <w:bottom w:w="60" w:type="dxa"/>
              <w:right w:w="100" w:type="dxa"/>
            </w:tcMar>
          </w:tcPr>
          <w:p w14:paraId="4A62715A" w14:textId="77777777" w:rsidR="009D2FD2" w:rsidRDefault="00000000">
            <w:pPr>
              <w:pStyle w:val="Tablacelda"/>
              <w:jc w:val="right"/>
            </w:pPr>
            <w:r>
              <w:t>81.696,97</w:t>
            </w:r>
          </w:p>
        </w:tc>
        <w:tc>
          <w:tcPr>
            <w:tcW w:w="1510" w:type="dxa"/>
            <w:tcBorders>
              <w:top w:val="nil"/>
              <w:left w:val="nil"/>
              <w:bottom w:val="nil"/>
              <w:right w:val="nil"/>
            </w:tcBorders>
            <w:tcMar>
              <w:top w:w="60" w:type="dxa"/>
              <w:left w:w="100" w:type="dxa"/>
              <w:bottom w:w="60" w:type="dxa"/>
              <w:right w:w="100" w:type="dxa"/>
            </w:tcMar>
          </w:tcPr>
          <w:p w14:paraId="3DA36050" w14:textId="77777777" w:rsidR="009D2FD2" w:rsidRDefault="00000000">
            <w:pPr>
              <w:pStyle w:val="Tablacelda"/>
              <w:jc w:val="right"/>
            </w:pPr>
            <w:r>
              <w:t>62.928,92</w:t>
            </w:r>
          </w:p>
        </w:tc>
      </w:tr>
      <w:tr w:rsidR="009D2FD2" w14:paraId="32B6EE21" w14:textId="77777777">
        <w:tc>
          <w:tcPr>
            <w:tcW w:w="1100" w:type="dxa"/>
            <w:tcBorders>
              <w:top w:val="nil"/>
              <w:left w:val="nil"/>
              <w:bottom w:val="nil"/>
              <w:right w:val="nil"/>
            </w:tcBorders>
            <w:tcMar>
              <w:top w:w="60" w:type="dxa"/>
              <w:left w:w="100" w:type="dxa"/>
              <w:bottom w:w="60" w:type="dxa"/>
              <w:right w:w="100" w:type="dxa"/>
            </w:tcMar>
          </w:tcPr>
          <w:p w14:paraId="45FD0F24" w14:textId="77777777" w:rsidR="009D2FD2" w:rsidRDefault="00000000">
            <w:pPr>
              <w:pStyle w:val="Tablacelda"/>
            </w:pPr>
            <w:r>
              <w:t>2</w:t>
            </w:r>
          </w:p>
        </w:tc>
        <w:tc>
          <w:tcPr>
            <w:tcW w:w="700" w:type="dxa"/>
            <w:tcBorders>
              <w:top w:val="nil"/>
              <w:left w:val="nil"/>
              <w:bottom w:val="nil"/>
              <w:right w:val="nil"/>
            </w:tcBorders>
            <w:tcMar>
              <w:top w:w="60" w:type="dxa"/>
              <w:left w:w="100" w:type="dxa"/>
              <w:bottom w:w="60" w:type="dxa"/>
              <w:right w:w="100" w:type="dxa"/>
            </w:tcMar>
          </w:tcPr>
          <w:p w14:paraId="183ABC8F" w14:textId="77777777" w:rsidR="009D2FD2" w:rsidRDefault="00000000">
            <w:pPr>
              <w:pStyle w:val="Tablacelda"/>
              <w:jc w:val="right"/>
            </w:pPr>
            <w:r>
              <w:t>8</w:t>
            </w:r>
          </w:p>
        </w:tc>
        <w:tc>
          <w:tcPr>
            <w:tcW w:w="1600" w:type="dxa"/>
            <w:tcBorders>
              <w:top w:val="nil"/>
              <w:left w:val="nil"/>
              <w:bottom w:val="nil"/>
              <w:right w:val="nil"/>
            </w:tcBorders>
            <w:tcMar>
              <w:top w:w="60" w:type="dxa"/>
              <w:left w:w="100" w:type="dxa"/>
              <w:bottom w:w="60" w:type="dxa"/>
              <w:right w:w="100" w:type="dxa"/>
            </w:tcMar>
          </w:tcPr>
          <w:p w14:paraId="206083AE" w14:textId="77777777" w:rsidR="009D2FD2" w:rsidRDefault="00000000">
            <w:pPr>
              <w:pStyle w:val="Tablacelda"/>
              <w:jc w:val="right"/>
            </w:pPr>
            <w:r>
              <w:t>28 → 32</w:t>
            </w:r>
          </w:p>
        </w:tc>
        <w:tc>
          <w:tcPr>
            <w:tcW w:w="1450" w:type="dxa"/>
            <w:tcBorders>
              <w:top w:val="nil"/>
              <w:left w:val="nil"/>
              <w:bottom w:val="nil"/>
              <w:right w:val="nil"/>
            </w:tcBorders>
            <w:tcMar>
              <w:top w:w="60" w:type="dxa"/>
              <w:left w:w="100" w:type="dxa"/>
              <w:bottom w:w="60" w:type="dxa"/>
              <w:right w:w="100" w:type="dxa"/>
            </w:tcMar>
          </w:tcPr>
          <w:p w14:paraId="31A879DC" w14:textId="77777777" w:rsidR="009D2FD2" w:rsidRDefault="00000000">
            <w:pPr>
              <w:pStyle w:val="Tablacelda"/>
              <w:jc w:val="right"/>
            </w:pPr>
            <w:r>
              <w:t>20.424,24</w:t>
            </w:r>
          </w:p>
        </w:tc>
        <w:tc>
          <w:tcPr>
            <w:tcW w:w="1350" w:type="dxa"/>
            <w:tcBorders>
              <w:top w:val="nil"/>
              <w:left w:val="nil"/>
              <w:bottom w:val="nil"/>
              <w:right w:val="nil"/>
            </w:tcBorders>
            <w:tcMar>
              <w:top w:w="60" w:type="dxa"/>
              <w:left w:w="100" w:type="dxa"/>
              <w:bottom w:w="60" w:type="dxa"/>
              <w:right w:w="100" w:type="dxa"/>
            </w:tcMar>
          </w:tcPr>
          <w:p w14:paraId="2757C9FC" w14:textId="77777777" w:rsidR="009D2FD2" w:rsidRDefault="00000000">
            <w:pPr>
              <w:pStyle w:val="Tablacelda"/>
              <w:jc w:val="right"/>
            </w:pPr>
            <w:r>
              <w:t>15.318,18</w:t>
            </w:r>
          </w:p>
        </w:tc>
        <w:tc>
          <w:tcPr>
            <w:tcW w:w="1650" w:type="dxa"/>
            <w:tcBorders>
              <w:top w:val="nil"/>
              <w:left w:val="nil"/>
              <w:bottom w:val="nil"/>
              <w:right w:val="nil"/>
            </w:tcBorders>
            <w:tcMar>
              <w:top w:w="60" w:type="dxa"/>
              <w:left w:w="100" w:type="dxa"/>
              <w:bottom w:w="60" w:type="dxa"/>
              <w:right w:w="100" w:type="dxa"/>
            </w:tcMar>
          </w:tcPr>
          <w:p w14:paraId="6DEC92F3" w14:textId="77777777" w:rsidR="009D2FD2" w:rsidRDefault="00000000">
            <w:pPr>
              <w:pStyle w:val="Tablacelda"/>
              <w:jc w:val="right"/>
            </w:pPr>
            <w:r>
              <w:t>61.272,73</w:t>
            </w:r>
          </w:p>
        </w:tc>
        <w:tc>
          <w:tcPr>
            <w:tcW w:w="1510" w:type="dxa"/>
            <w:tcBorders>
              <w:top w:val="nil"/>
              <w:left w:val="nil"/>
              <w:bottom w:val="nil"/>
              <w:right w:val="nil"/>
            </w:tcBorders>
            <w:tcMar>
              <w:top w:w="60" w:type="dxa"/>
              <w:left w:w="100" w:type="dxa"/>
              <w:bottom w:w="60" w:type="dxa"/>
              <w:right w:w="100" w:type="dxa"/>
            </w:tcMar>
          </w:tcPr>
          <w:p w14:paraId="27CE5C48" w14:textId="77777777" w:rsidR="009D2FD2" w:rsidRDefault="00000000">
            <w:pPr>
              <w:pStyle w:val="Tablacelda"/>
              <w:jc w:val="right"/>
            </w:pPr>
            <w:r>
              <w:t>50.075,53</w:t>
            </w:r>
          </w:p>
        </w:tc>
      </w:tr>
      <w:tr w:rsidR="009D2FD2" w14:paraId="354C3F2E" w14:textId="77777777">
        <w:tc>
          <w:tcPr>
            <w:tcW w:w="1100" w:type="dxa"/>
            <w:tcBorders>
              <w:top w:val="nil"/>
              <w:left w:val="nil"/>
              <w:bottom w:val="nil"/>
              <w:right w:val="nil"/>
            </w:tcBorders>
            <w:tcMar>
              <w:top w:w="60" w:type="dxa"/>
              <w:left w:w="100" w:type="dxa"/>
              <w:bottom w:w="60" w:type="dxa"/>
              <w:right w:w="100" w:type="dxa"/>
            </w:tcMar>
          </w:tcPr>
          <w:p w14:paraId="2EDA35C4" w14:textId="77777777" w:rsidR="009D2FD2" w:rsidRDefault="00000000">
            <w:pPr>
              <w:pStyle w:val="Tablacelda"/>
            </w:pPr>
            <w:r>
              <w:t>3</w:t>
            </w:r>
          </w:p>
        </w:tc>
        <w:tc>
          <w:tcPr>
            <w:tcW w:w="700" w:type="dxa"/>
            <w:tcBorders>
              <w:top w:val="nil"/>
              <w:left w:val="nil"/>
              <w:bottom w:val="nil"/>
              <w:right w:val="nil"/>
            </w:tcBorders>
            <w:tcMar>
              <w:top w:w="60" w:type="dxa"/>
              <w:left w:w="100" w:type="dxa"/>
              <w:bottom w:w="60" w:type="dxa"/>
              <w:right w:w="100" w:type="dxa"/>
            </w:tcMar>
          </w:tcPr>
          <w:p w14:paraId="044D6883" w14:textId="77777777" w:rsidR="009D2FD2" w:rsidRDefault="00000000">
            <w:pPr>
              <w:pStyle w:val="Tablacelda"/>
              <w:jc w:val="right"/>
            </w:pPr>
            <w:r>
              <w:t>9</w:t>
            </w:r>
          </w:p>
        </w:tc>
        <w:tc>
          <w:tcPr>
            <w:tcW w:w="1600" w:type="dxa"/>
            <w:tcBorders>
              <w:top w:val="nil"/>
              <w:left w:val="nil"/>
              <w:bottom w:val="nil"/>
              <w:right w:val="nil"/>
            </w:tcBorders>
            <w:tcMar>
              <w:top w:w="60" w:type="dxa"/>
              <w:left w:w="100" w:type="dxa"/>
              <w:bottom w:w="60" w:type="dxa"/>
              <w:right w:w="100" w:type="dxa"/>
            </w:tcMar>
          </w:tcPr>
          <w:p w14:paraId="28AF27EF" w14:textId="77777777" w:rsidR="009D2FD2" w:rsidRDefault="00000000">
            <w:pPr>
              <w:pStyle w:val="Tablacelda"/>
              <w:jc w:val="right"/>
            </w:pPr>
            <w:r>
              <w:t>32 → 36</w:t>
            </w:r>
          </w:p>
        </w:tc>
        <w:tc>
          <w:tcPr>
            <w:tcW w:w="1450" w:type="dxa"/>
            <w:tcBorders>
              <w:top w:val="nil"/>
              <w:left w:val="nil"/>
              <w:bottom w:val="nil"/>
              <w:right w:val="nil"/>
            </w:tcBorders>
            <w:tcMar>
              <w:top w:w="60" w:type="dxa"/>
              <w:left w:w="100" w:type="dxa"/>
              <w:bottom w:w="60" w:type="dxa"/>
              <w:right w:w="100" w:type="dxa"/>
            </w:tcMar>
          </w:tcPr>
          <w:p w14:paraId="629BB418" w14:textId="77777777" w:rsidR="009D2FD2" w:rsidRDefault="00000000">
            <w:pPr>
              <w:pStyle w:val="Tablacelda"/>
              <w:jc w:val="right"/>
            </w:pPr>
            <w:r>
              <w:t>20.424,24</w:t>
            </w:r>
          </w:p>
        </w:tc>
        <w:tc>
          <w:tcPr>
            <w:tcW w:w="1350" w:type="dxa"/>
            <w:tcBorders>
              <w:top w:val="nil"/>
              <w:left w:val="nil"/>
              <w:bottom w:val="nil"/>
              <w:right w:val="nil"/>
            </w:tcBorders>
            <w:tcMar>
              <w:top w:w="60" w:type="dxa"/>
              <w:left w:w="100" w:type="dxa"/>
              <w:bottom w:w="60" w:type="dxa"/>
              <w:right w:w="100" w:type="dxa"/>
            </w:tcMar>
          </w:tcPr>
          <w:p w14:paraId="0A58E65F" w14:textId="77777777" w:rsidR="009D2FD2" w:rsidRDefault="00000000">
            <w:pPr>
              <w:pStyle w:val="Tablacelda"/>
              <w:jc w:val="right"/>
            </w:pPr>
            <w:r>
              <w:t>15.318,18</w:t>
            </w:r>
          </w:p>
        </w:tc>
        <w:tc>
          <w:tcPr>
            <w:tcW w:w="1650" w:type="dxa"/>
            <w:tcBorders>
              <w:top w:val="nil"/>
              <w:left w:val="nil"/>
              <w:bottom w:val="nil"/>
              <w:right w:val="nil"/>
            </w:tcBorders>
            <w:tcMar>
              <w:top w:w="60" w:type="dxa"/>
              <w:left w:w="100" w:type="dxa"/>
              <w:bottom w:w="60" w:type="dxa"/>
              <w:right w:w="100" w:type="dxa"/>
            </w:tcMar>
          </w:tcPr>
          <w:p w14:paraId="0F8A8256" w14:textId="77777777" w:rsidR="009D2FD2" w:rsidRDefault="00000000">
            <w:pPr>
              <w:pStyle w:val="Tablacelda"/>
              <w:jc w:val="right"/>
            </w:pPr>
            <w:r>
              <w:t>40.848,49</w:t>
            </w:r>
          </w:p>
        </w:tc>
        <w:tc>
          <w:tcPr>
            <w:tcW w:w="1510" w:type="dxa"/>
            <w:tcBorders>
              <w:top w:val="nil"/>
              <w:left w:val="nil"/>
              <w:bottom w:val="nil"/>
              <w:right w:val="nil"/>
            </w:tcBorders>
            <w:tcMar>
              <w:top w:w="60" w:type="dxa"/>
              <w:left w:w="100" w:type="dxa"/>
              <w:bottom w:w="60" w:type="dxa"/>
              <w:right w:w="100" w:type="dxa"/>
            </w:tcMar>
          </w:tcPr>
          <w:p w14:paraId="4FB6DD15" w14:textId="77777777" w:rsidR="009D2FD2" w:rsidRDefault="00000000">
            <w:pPr>
              <w:pStyle w:val="Tablacelda"/>
              <w:jc w:val="right"/>
            </w:pPr>
            <w:r>
              <w:t>35.467,96</w:t>
            </w:r>
          </w:p>
        </w:tc>
      </w:tr>
      <w:tr w:rsidR="009D2FD2" w14:paraId="3CE248F6" w14:textId="77777777">
        <w:tc>
          <w:tcPr>
            <w:tcW w:w="1100" w:type="dxa"/>
            <w:tcBorders>
              <w:top w:val="nil"/>
              <w:left w:val="nil"/>
              <w:bottom w:val="single" w:sz="8" w:space="0" w:color="000000"/>
              <w:right w:val="nil"/>
            </w:tcBorders>
            <w:tcMar>
              <w:top w:w="60" w:type="dxa"/>
              <w:left w:w="100" w:type="dxa"/>
              <w:bottom w:w="60" w:type="dxa"/>
              <w:right w:w="100" w:type="dxa"/>
            </w:tcMar>
          </w:tcPr>
          <w:p w14:paraId="4920854D" w14:textId="77777777" w:rsidR="009D2FD2" w:rsidRDefault="00000000">
            <w:pPr>
              <w:pStyle w:val="Tablacelda"/>
            </w:pPr>
            <w:r>
              <w:t>4</w:t>
            </w:r>
          </w:p>
        </w:tc>
        <w:tc>
          <w:tcPr>
            <w:tcW w:w="700" w:type="dxa"/>
            <w:tcBorders>
              <w:top w:val="nil"/>
              <w:left w:val="nil"/>
              <w:bottom w:val="single" w:sz="8" w:space="0" w:color="000000"/>
              <w:right w:val="nil"/>
            </w:tcBorders>
            <w:tcMar>
              <w:top w:w="60" w:type="dxa"/>
              <w:left w:w="100" w:type="dxa"/>
              <w:bottom w:w="60" w:type="dxa"/>
              <w:right w:w="100" w:type="dxa"/>
            </w:tcMar>
          </w:tcPr>
          <w:p w14:paraId="7FA6C0A6" w14:textId="77777777" w:rsidR="009D2FD2" w:rsidRDefault="00000000">
            <w:pPr>
              <w:pStyle w:val="Tablacelda"/>
              <w:jc w:val="right"/>
            </w:pPr>
            <w:r>
              <w:t>10</w:t>
            </w:r>
          </w:p>
        </w:tc>
        <w:tc>
          <w:tcPr>
            <w:tcW w:w="1600" w:type="dxa"/>
            <w:tcBorders>
              <w:top w:val="nil"/>
              <w:left w:val="nil"/>
              <w:bottom w:val="single" w:sz="8" w:space="0" w:color="000000"/>
              <w:right w:val="nil"/>
            </w:tcBorders>
            <w:tcMar>
              <w:top w:w="60" w:type="dxa"/>
              <w:left w:w="100" w:type="dxa"/>
              <w:bottom w:w="60" w:type="dxa"/>
              <w:right w:w="100" w:type="dxa"/>
            </w:tcMar>
          </w:tcPr>
          <w:p w14:paraId="3B398CCD" w14:textId="77777777" w:rsidR="009D2FD2" w:rsidRDefault="00000000">
            <w:pPr>
              <w:pStyle w:val="Tablacelda"/>
              <w:jc w:val="right"/>
            </w:pPr>
            <w:r>
              <w:t>36 → 40</w:t>
            </w:r>
          </w:p>
        </w:tc>
        <w:tc>
          <w:tcPr>
            <w:tcW w:w="1450" w:type="dxa"/>
            <w:tcBorders>
              <w:top w:val="nil"/>
              <w:left w:val="nil"/>
              <w:bottom w:val="single" w:sz="8" w:space="0" w:color="000000"/>
              <w:right w:val="nil"/>
            </w:tcBorders>
            <w:tcMar>
              <w:top w:w="60" w:type="dxa"/>
              <w:left w:w="100" w:type="dxa"/>
              <w:bottom w:w="60" w:type="dxa"/>
              <w:right w:w="100" w:type="dxa"/>
            </w:tcMar>
          </w:tcPr>
          <w:p w14:paraId="29DB6EEA" w14:textId="77777777" w:rsidR="009D2FD2" w:rsidRDefault="00000000">
            <w:pPr>
              <w:pStyle w:val="Tablacelda"/>
              <w:jc w:val="right"/>
            </w:pPr>
            <w:r>
              <w:t>20.424,24</w:t>
            </w:r>
          </w:p>
        </w:tc>
        <w:tc>
          <w:tcPr>
            <w:tcW w:w="1350" w:type="dxa"/>
            <w:tcBorders>
              <w:top w:val="nil"/>
              <w:left w:val="nil"/>
              <w:bottom w:val="single" w:sz="8" w:space="0" w:color="000000"/>
              <w:right w:val="nil"/>
            </w:tcBorders>
            <w:tcMar>
              <w:top w:w="60" w:type="dxa"/>
              <w:left w:w="100" w:type="dxa"/>
              <w:bottom w:w="60" w:type="dxa"/>
              <w:right w:w="100" w:type="dxa"/>
            </w:tcMar>
          </w:tcPr>
          <w:p w14:paraId="623AC3B3" w14:textId="77777777" w:rsidR="009D2FD2" w:rsidRDefault="00000000">
            <w:pPr>
              <w:pStyle w:val="Tablacelda"/>
              <w:jc w:val="right"/>
            </w:pPr>
            <w:r>
              <w:t>15.318,18</w:t>
            </w:r>
          </w:p>
        </w:tc>
        <w:tc>
          <w:tcPr>
            <w:tcW w:w="1650" w:type="dxa"/>
            <w:tcBorders>
              <w:top w:val="nil"/>
              <w:left w:val="nil"/>
              <w:bottom w:val="single" w:sz="8" w:space="0" w:color="000000"/>
              <w:right w:val="nil"/>
            </w:tcBorders>
            <w:tcMar>
              <w:top w:w="60" w:type="dxa"/>
              <w:left w:w="100" w:type="dxa"/>
              <w:bottom w:w="60" w:type="dxa"/>
              <w:right w:w="100" w:type="dxa"/>
            </w:tcMar>
          </w:tcPr>
          <w:p w14:paraId="037288D1" w14:textId="77777777" w:rsidR="009D2FD2" w:rsidRDefault="00000000">
            <w:pPr>
              <w:pStyle w:val="Tablacelda"/>
              <w:jc w:val="right"/>
            </w:pPr>
            <w:r>
              <w:t>20.424,24</w:t>
            </w:r>
          </w:p>
        </w:tc>
        <w:tc>
          <w:tcPr>
            <w:tcW w:w="1510" w:type="dxa"/>
            <w:tcBorders>
              <w:top w:val="nil"/>
              <w:left w:val="nil"/>
              <w:bottom w:val="single" w:sz="8" w:space="0" w:color="000000"/>
              <w:right w:val="nil"/>
            </w:tcBorders>
            <w:tcMar>
              <w:top w:w="60" w:type="dxa"/>
              <w:left w:w="100" w:type="dxa"/>
              <w:bottom w:w="60" w:type="dxa"/>
              <w:right w:w="100" w:type="dxa"/>
            </w:tcMar>
          </w:tcPr>
          <w:p w14:paraId="5BF764C9" w14:textId="77777777" w:rsidR="009D2FD2" w:rsidRDefault="00000000">
            <w:pPr>
              <w:pStyle w:val="Tablacelda"/>
              <w:jc w:val="right"/>
            </w:pPr>
            <w:r>
              <w:t>18.866,81</w:t>
            </w:r>
          </w:p>
        </w:tc>
      </w:tr>
    </w:tbl>
    <w:p w14:paraId="5015EC51" w14:textId="77777777" w:rsidR="00D34627" w:rsidRDefault="00D34627"/>
    <w:p w14:paraId="7417CF4A" w14:textId="77777777" w:rsidR="009D2FD2" w:rsidRDefault="00000000">
      <w:r>
        <w:t xml:space="preserve">La tabla confirma la coherencia entre el nominal y la obligación: cada forward cubre menos que los pagos de su año, el total cubierto (USD 61.273) es menor que la obligación </w:t>
      </w:r>
      <w:r>
        <w:lastRenderedPageBreak/>
        <w:t>pendiente (USD 81.697) y también que el saldo de capital al iniciar la cobertura (USD 62.929). Por lo tanto, la estrategia no crea una posición especulativa. Esa coherencia depende de dos condiciones: que el crédito no se prepague, porque los forwards pendientes quedarían sin obligación detrás, y que la tasa del crédito sea fija, como se eligió en A.2. Con una tasa variable las cuotas cambiarían y el nominal tendría que ajustarse.</w:t>
      </w:r>
    </w:p>
    <w:p w14:paraId="5078515A" w14:textId="77777777" w:rsidR="009D2FD2" w:rsidRDefault="00000000">
      <w:pPr>
        <w:pStyle w:val="TtuloAPAnivel2"/>
      </w:pPr>
      <w:r>
        <w:t>B.1. Cotización y valoración de los forwards</w:t>
      </w:r>
    </w:p>
    <w:p w14:paraId="32D5D31F" w14:textId="77777777" w:rsidR="009D2FD2" w:rsidRDefault="00FC5CB9">
      <w:r>
        <w:t xml:space="preserve">Se usó la curva forward USD/COP que publica </w:t>
      </w:r>
      <w:hyperlink r:id="rId45" w:history="1">
        <w:r>
          <w:rPr>
            <w:rStyle w:val="Hipervnculo"/>
          </w:rPr>
          <w:t>Cbonds (s. f.-b)</w:t>
        </w:r>
      </w:hyperlink>
      <w:r>
        <w:t>, con precios medios al cierre de Londres, que sirven de referencia para valorar forwards con y sin entrega (</w:t>
      </w:r>
      <w:hyperlink r:id="rId46" w:history="1">
        <w:r>
          <w:rPr>
            <w:rStyle w:val="Hipervnculo"/>
          </w:rPr>
          <w:t>detalle por plazos en Cbonds, s. f.-a</w:t>
        </w:r>
      </w:hyperlink>
      <w:r>
        <w:t>). Los datos son del 27 de octubre de 2026. El spot de la curva  es  3.132,07.</w:t>
      </w:r>
    </w:p>
    <w:p w14:paraId="5011158A" w14:textId="77777777" w:rsidR="00D20524" w:rsidRDefault="00000000">
      <w:pPr>
        <w:pStyle w:val="Rtulotablaofigura"/>
      </w:pPr>
      <w:r>
        <w:rPr>
          <w:b/>
          <w:bCs/>
        </w:rPr>
        <w:t>Tabla 13</w:t>
      </w:r>
    </w:p>
    <w:p w14:paraId="3A7441B3" w14:textId="77777777" w:rsidR="00D20524" w:rsidRDefault="00000000">
      <w:pPr>
        <w:pStyle w:val="Ttulotablaofigura"/>
      </w:pPr>
      <w:r>
        <w:t>Curva forward USD/COP al 27 de octubre de 2026</w:t>
      </w:r>
    </w:p>
    <w:tbl>
      <w:tblPr>
        <w:tblW w:w="750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1800"/>
        <w:gridCol w:w="1900"/>
        <w:gridCol w:w="1800"/>
        <w:gridCol w:w="2000"/>
      </w:tblGrid>
      <w:tr w:rsidR="009E5568" w14:paraId="2F0CFEBA" w14:textId="77777777" w:rsidTr="009E5568">
        <w:trPr>
          <w:tblHeader/>
        </w:trPr>
        <w:tc>
          <w:tcPr>
            <w:tcW w:w="18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9093F74" w14:textId="77777777" w:rsidR="009E5568" w:rsidRDefault="009E5568">
            <w:pPr>
              <w:pStyle w:val="Tablacelda"/>
            </w:pPr>
            <w:r>
              <w:rPr>
                <w:b/>
                <w:bCs/>
              </w:rPr>
              <w:t>Plazo</w:t>
            </w:r>
          </w:p>
        </w:tc>
        <w:tc>
          <w:tcPr>
            <w:tcW w:w="19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2D40D4D" w14:textId="77777777" w:rsidR="009E5568" w:rsidRDefault="009E5568">
            <w:pPr>
              <w:pStyle w:val="Tablacelda"/>
              <w:jc w:val="right"/>
            </w:pPr>
            <w:r>
              <w:rPr>
                <w:b/>
                <w:bCs/>
              </w:rPr>
              <w:t>Precio (COP por USD)</w:t>
            </w:r>
          </w:p>
        </w:tc>
        <w:tc>
          <w:tcPr>
            <w:tcW w:w="18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C0EF360" w14:textId="77777777" w:rsidR="009E5568" w:rsidRDefault="009E5568">
            <w:pPr>
              <w:pStyle w:val="Tablacelda"/>
              <w:jc w:val="right"/>
            </w:pPr>
            <w:r>
              <w:rPr>
                <w:b/>
                <w:bCs/>
              </w:rPr>
              <w:t>Puntos forward (COP)</w:t>
            </w:r>
          </w:p>
        </w:tc>
        <w:tc>
          <w:tcPr>
            <w:tcW w:w="20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49B90C1" w14:textId="77777777" w:rsidR="009E5568" w:rsidRDefault="009E5568">
            <w:pPr>
              <w:pStyle w:val="Tablacelda"/>
              <w:jc w:val="right"/>
            </w:pPr>
            <w:r>
              <w:rPr>
                <w:b/>
                <w:bCs/>
              </w:rPr>
              <w:t>Devaluación implícita del plazo</w:t>
            </w:r>
          </w:p>
        </w:tc>
      </w:tr>
      <w:tr w:rsidR="009E5568" w14:paraId="3C9B72E6" w14:textId="77777777" w:rsidTr="009E5568">
        <w:tc>
          <w:tcPr>
            <w:tcW w:w="1800" w:type="dxa"/>
            <w:tcBorders>
              <w:top w:val="nil"/>
              <w:left w:val="nil"/>
              <w:bottom w:val="nil"/>
              <w:right w:val="nil"/>
            </w:tcBorders>
            <w:tcMar>
              <w:top w:w="60" w:type="dxa"/>
              <w:left w:w="100" w:type="dxa"/>
              <w:bottom w:w="60" w:type="dxa"/>
              <w:right w:w="100" w:type="dxa"/>
            </w:tcMar>
          </w:tcPr>
          <w:p w14:paraId="2094EB68" w14:textId="77777777" w:rsidR="009E5568" w:rsidRDefault="009E5568">
            <w:pPr>
              <w:pStyle w:val="Tablacelda"/>
            </w:pPr>
            <w:r>
              <w:t>Spot (S/N)</w:t>
            </w:r>
          </w:p>
        </w:tc>
        <w:tc>
          <w:tcPr>
            <w:tcW w:w="1900" w:type="dxa"/>
            <w:tcBorders>
              <w:top w:val="nil"/>
              <w:left w:val="nil"/>
              <w:bottom w:val="nil"/>
              <w:right w:val="nil"/>
            </w:tcBorders>
            <w:tcMar>
              <w:top w:w="60" w:type="dxa"/>
              <w:left w:w="100" w:type="dxa"/>
              <w:bottom w:w="60" w:type="dxa"/>
              <w:right w:w="100" w:type="dxa"/>
            </w:tcMar>
          </w:tcPr>
          <w:p w14:paraId="0C17B35A" w14:textId="77777777" w:rsidR="009E5568" w:rsidRDefault="009E5568">
            <w:pPr>
              <w:pStyle w:val="Tablacelda"/>
              <w:jc w:val="right"/>
            </w:pPr>
            <w:r>
              <w:t>3.132,07</w:t>
            </w:r>
          </w:p>
        </w:tc>
        <w:tc>
          <w:tcPr>
            <w:tcW w:w="1800" w:type="dxa"/>
            <w:tcBorders>
              <w:top w:val="nil"/>
              <w:left w:val="nil"/>
              <w:bottom w:val="nil"/>
              <w:right w:val="nil"/>
            </w:tcBorders>
            <w:tcMar>
              <w:top w:w="60" w:type="dxa"/>
              <w:left w:w="100" w:type="dxa"/>
              <w:bottom w:w="60" w:type="dxa"/>
              <w:right w:w="100" w:type="dxa"/>
            </w:tcMar>
          </w:tcPr>
          <w:p w14:paraId="04482A83" w14:textId="77777777" w:rsidR="009E5568" w:rsidRDefault="009E5568">
            <w:pPr>
              <w:pStyle w:val="Tablacelda"/>
              <w:jc w:val="right"/>
            </w:pPr>
          </w:p>
        </w:tc>
        <w:tc>
          <w:tcPr>
            <w:tcW w:w="2000" w:type="dxa"/>
            <w:tcBorders>
              <w:top w:val="nil"/>
              <w:left w:val="nil"/>
              <w:bottom w:val="nil"/>
              <w:right w:val="nil"/>
            </w:tcBorders>
            <w:tcMar>
              <w:top w:w="60" w:type="dxa"/>
              <w:left w:w="100" w:type="dxa"/>
              <w:bottom w:w="60" w:type="dxa"/>
              <w:right w:w="100" w:type="dxa"/>
            </w:tcMar>
          </w:tcPr>
          <w:p w14:paraId="5F939A83" w14:textId="77777777" w:rsidR="009E5568" w:rsidRDefault="009E5568">
            <w:pPr>
              <w:pStyle w:val="Tablacelda"/>
              <w:jc w:val="right"/>
            </w:pPr>
          </w:p>
        </w:tc>
      </w:tr>
      <w:tr w:rsidR="009E5568" w14:paraId="118A2004" w14:textId="77777777" w:rsidTr="009E5568">
        <w:tc>
          <w:tcPr>
            <w:tcW w:w="1800" w:type="dxa"/>
            <w:tcBorders>
              <w:top w:val="nil"/>
              <w:left w:val="nil"/>
              <w:bottom w:val="single" w:sz="8" w:space="0" w:color="000000"/>
              <w:right w:val="nil"/>
            </w:tcBorders>
            <w:shd w:val="clear" w:color="auto" w:fill="E2EFDA"/>
            <w:tcMar>
              <w:top w:w="60" w:type="dxa"/>
              <w:left w:w="100" w:type="dxa"/>
              <w:bottom w:w="60" w:type="dxa"/>
              <w:right w:w="100" w:type="dxa"/>
            </w:tcMar>
          </w:tcPr>
          <w:p w14:paraId="3293BD31" w14:textId="77777777" w:rsidR="009E5568" w:rsidRDefault="009E5568">
            <w:pPr>
              <w:pStyle w:val="Tablacelda"/>
            </w:pPr>
            <w:r>
              <w:t>1 año</w:t>
            </w:r>
          </w:p>
        </w:tc>
        <w:tc>
          <w:tcPr>
            <w:tcW w:w="1900" w:type="dxa"/>
            <w:tcBorders>
              <w:top w:val="nil"/>
              <w:left w:val="nil"/>
              <w:bottom w:val="single" w:sz="8" w:space="0" w:color="000000"/>
              <w:right w:val="nil"/>
            </w:tcBorders>
            <w:shd w:val="clear" w:color="auto" w:fill="E2EFDA"/>
            <w:tcMar>
              <w:top w:w="60" w:type="dxa"/>
              <w:left w:w="100" w:type="dxa"/>
              <w:bottom w:w="60" w:type="dxa"/>
              <w:right w:w="100" w:type="dxa"/>
            </w:tcMar>
          </w:tcPr>
          <w:p w14:paraId="68CDE042" w14:textId="77777777" w:rsidR="009E5568" w:rsidRDefault="009E5568">
            <w:pPr>
              <w:pStyle w:val="Tablacelda"/>
              <w:jc w:val="right"/>
            </w:pPr>
            <w:r>
              <w:t>3.386,30</w:t>
            </w:r>
          </w:p>
        </w:tc>
        <w:tc>
          <w:tcPr>
            <w:tcW w:w="1800" w:type="dxa"/>
            <w:tcBorders>
              <w:top w:val="nil"/>
              <w:left w:val="nil"/>
              <w:bottom w:val="single" w:sz="8" w:space="0" w:color="000000"/>
              <w:right w:val="nil"/>
            </w:tcBorders>
            <w:shd w:val="clear" w:color="auto" w:fill="E2EFDA"/>
            <w:tcMar>
              <w:top w:w="60" w:type="dxa"/>
              <w:left w:w="100" w:type="dxa"/>
              <w:bottom w:w="60" w:type="dxa"/>
              <w:right w:w="100" w:type="dxa"/>
            </w:tcMar>
          </w:tcPr>
          <w:p w14:paraId="3D212D8D" w14:textId="77777777" w:rsidR="009E5568" w:rsidRDefault="009E5568">
            <w:pPr>
              <w:pStyle w:val="Tablacelda"/>
              <w:jc w:val="right"/>
            </w:pPr>
            <w:r>
              <w:t>254,23</w:t>
            </w:r>
          </w:p>
        </w:tc>
        <w:tc>
          <w:tcPr>
            <w:tcW w:w="2000" w:type="dxa"/>
            <w:tcBorders>
              <w:top w:val="nil"/>
              <w:left w:val="nil"/>
              <w:bottom w:val="single" w:sz="8" w:space="0" w:color="000000"/>
              <w:right w:val="nil"/>
            </w:tcBorders>
            <w:shd w:val="clear" w:color="auto" w:fill="E2EFDA"/>
            <w:tcMar>
              <w:top w:w="60" w:type="dxa"/>
              <w:left w:w="100" w:type="dxa"/>
              <w:bottom w:w="60" w:type="dxa"/>
              <w:right w:w="100" w:type="dxa"/>
            </w:tcMar>
          </w:tcPr>
          <w:p w14:paraId="3CDD5171" w14:textId="77777777" w:rsidR="009E5568" w:rsidRDefault="009E5568">
            <w:pPr>
              <w:pStyle w:val="Tablacelda"/>
              <w:jc w:val="right"/>
            </w:pPr>
            <w:r>
              <w:t>8,12 %</w:t>
            </w:r>
          </w:p>
        </w:tc>
      </w:tr>
    </w:tbl>
    <w:p w14:paraId="7AFAE343" w14:textId="77777777" w:rsidR="00D34627" w:rsidRDefault="00D34627"/>
    <w:p w14:paraId="05ED68D2" w14:textId="77777777" w:rsidR="009D2FD2" w:rsidRDefault="00000000">
      <w:r>
        <w:t>Los puntos forward a un año son 254 pesos lo que significa que comprar dólares a un año cuesta 8,12 % más que comprarlos hoy. Para valorar si ese precio es razonable, se calcula el forward teórico con la paridad cubierta de tasas de interés, F = S × (1 + i_COP) / (1 + i_USD). La lógica de hacer esto es ver un posible arbitraje, donde, pedir prestados pesos, comprar dólares hoy e invertirlos en EE. UU. por un año tenga un resultado distinto a invertir directamente en el foward. Como en la paridad deben usarse tasas del mismo plazo, se probaron varias combinaciones:</w:t>
      </w:r>
    </w:p>
    <w:p w14:paraId="7FDAEDEB" w14:textId="77777777" w:rsidR="00D20524" w:rsidRDefault="00000000">
      <w:pPr>
        <w:pStyle w:val="Rtulotablaofigura"/>
      </w:pPr>
      <w:r>
        <w:rPr>
          <w:b/>
          <w:bCs/>
        </w:rPr>
        <w:lastRenderedPageBreak/>
        <w:t>Tabla 14</w:t>
      </w:r>
    </w:p>
    <w:p w14:paraId="0CE641F7" w14:textId="77777777" w:rsidR="00D20524" w:rsidRDefault="00000000">
      <w:pPr>
        <w:pStyle w:val="Ttulotablaofigura"/>
      </w:pPr>
      <w:r>
        <w:t>Forward teórico según la paridad cubierta de tasas</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3400"/>
        <w:gridCol w:w="1150"/>
        <w:gridCol w:w="1000"/>
        <w:gridCol w:w="1450"/>
        <w:gridCol w:w="2360"/>
      </w:tblGrid>
      <w:tr w:rsidR="009D2FD2" w14:paraId="443802C7" w14:textId="77777777">
        <w:trPr>
          <w:tblHeader/>
        </w:trPr>
        <w:tc>
          <w:tcPr>
            <w:tcW w:w="3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87D624A" w14:textId="77777777" w:rsidR="009D2FD2" w:rsidRDefault="00000000">
            <w:pPr>
              <w:pStyle w:val="Tablacelda"/>
            </w:pPr>
            <w:r>
              <w:rPr>
                <w:b/>
                <w:bCs/>
              </w:rPr>
              <w:t>Combinación de tasas</w:t>
            </w:r>
          </w:p>
        </w:tc>
        <w:tc>
          <w:tcPr>
            <w:tcW w:w="11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D30AE9C" w14:textId="77777777" w:rsidR="009D2FD2" w:rsidRDefault="00000000">
            <w:pPr>
              <w:pStyle w:val="Tablacelda"/>
              <w:jc w:val="right"/>
            </w:pPr>
            <w:r>
              <w:rPr>
                <w:b/>
                <w:bCs/>
              </w:rPr>
              <w:t>i_COP</w:t>
            </w:r>
          </w:p>
        </w:tc>
        <w:tc>
          <w:tcPr>
            <w:tcW w:w="10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FA78F15" w14:textId="77777777" w:rsidR="009D2FD2" w:rsidRDefault="00000000">
            <w:pPr>
              <w:pStyle w:val="Tablacelda"/>
              <w:jc w:val="right"/>
            </w:pPr>
            <w:r>
              <w:rPr>
                <w:b/>
                <w:bCs/>
              </w:rPr>
              <w:t>i_USD</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6A28EE92" w14:textId="77777777" w:rsidR="009D2FD2" w:rsidRDefault="00000000">
            <w:pPr>
              <w:pStyle w:val="Tablacelda"/>
              <w:jc w:val="right"/>
            </w:pPr>
            <w:r>
              <w:rPr>
                <w:b/>
                <w:bCs/>
              </w:rPr>
              <w:t>Forward teórico</w:t>
            </w:r>
          </w:p>
        </w:tc>
        <w:tc>
          <w:tcPr>
            <w:tcW w:w="23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F553DFE" w14:textId="77777777" w:rsidR="009D2FD2" w:rsidRDefault="00000000">
            <w:pPr>
              <w:pStyle w:val="Tablacelda"/>
              <w:jc w:val="right"/>
            </w:pPr>
            <w:r>
              <w:rPr>
                <w:b/>
                <w:bCs/>
              </w:rPr>
              <w:t>Diferencia con el observado (3.386,30)</w:t>
            </w:r>
          </w:p>
        </w:tc>
      </w:tr>
      <w:tr w:rsidR="009D2FD2" w14:paraId="1F39D469" w14:textId="77777777">
        <w:tc>
          <w:tcPr>
            <w:tcW w:w="3400" w:type="dxa"/>
            <w:tcBorders>
              <w:top w:val="nil"/>
              <w:left w:val="nil"/>
              <w:bottom w:val="single" w:sz="8" w:space="0" w:color="000000"/>
              <w:right w:val="nil"/>
            </w:tcBorders>
            <w:shd w:val="clear" w:color="auto" w:fill="E2EFDA"/>
            <w:tcMar>
              <w:top w:w="60" w:type="dxa"/>
              <w:left w:w="100" w:type="dxa"/>
              <w:bottom w:w="60" w:type="dxa"/>
              <w:right w:w="100" w:type="dxa"/>
            </w:tcMar>
          </w:tcPr>
          <w:p w14:paraId="33CF6D67" w14:textId="77777777" w:rsidR="009D2FD2" w:rsidRDefault="00000000">
            <w:pPr>
              <w:pStyle w:val="Tablacelda"/>
            </w:pPr>
            <w:r>
              <w:t>Tasa de política BanRep vs Tesoro de EE. UU. a 1 año</w:t>
            </w:r>
          </w:p>
        </w:tc>
        <w:tc>
          <w:tcPr>
            <w:tcW w:w="1150" w:type="dxa"/>
            <w:tcBorders>
              <w:top w:val="nil"/>
              <w:left w:val="nil"/>
              <w:bottom w:val="single" w:sz="8" w:space="0" w:color="000000"/>
              <w:right w:val="nil"/>
            </w:tcBorders>
            <w:shd w:val="clear" w:color="auto" w:fill="E2EFDA"/>
            <w:tcMar>
              <w:top w:w="60" w:type="dxa"/>
              <w:left w:w="100" w:type="dxa"/>
              <w:bottom w:w="60" w:type="dxa"/>
              <w:right w:w="100" w:type="dxa"/>
            </w:tcMar>
          </w:tcPr>
          <w:p w14:paraId="37A4CB7B" w14:textId="77777777" w:rsidR="009D2FD2" w:rsidRDefault="00000000">
            <w:pPr>
              <w:pStyle w:val="Tablacelda"/>
              <w:jc w:val="right"/>
            </w:pPr>
            <w:r>
              <w:t>12,25 %</w:t>
            </w:r>
          </w:p>
        </w:tc>
        <w:tc>
          <w:tcPr>
            <w:tcW w:w="1000" w:type="dxa"/>
            <w:tcBorders>
              <w:top w:val="nil"/>
              <w:left w:val="nil"/>
              <w:bottom w:val="single" w:sz="8" w:space="0" w:color="000000"/>
              <w:right w:val="nil"/>
            </w:tcBorders>
            <w:shd w:val="clear" w:color="auto" w:fill="E2EFDA"/>
            <w:tcMar>
              <w:top w:w="60" w:type="dxa"/>
              <w:left w:w="100" w:type="dxa"/>
              <w:bottom w:w="60" w:type="dxa"/>
              <w:right w:w="100" w:type="dxa"/>
            </w:tcMar>
          </w:tcPr>
          <w:p w14:paraId="481EF6F7" w14:textId="77777777" w:rsidR="009D2FD2" w:rsidRDefault="00000000">
            <w:pPr>
              <w:pStyle w:val="Tablacelda"/>
              <w:jc w:val="right"/>
            </w:pPr>
            <w:r>
              <w:t>4,47 %</w:t>
            </w:r>
          </w:p>
        </w:tc>
        <w:tc>
          <w:tcPr>
            <w:tcW w:w="1450" w:type="dxa"/>
            <w:tcBorders>
              <w:top w:val="nil"/>
              <w:left w:val="nil"/>
              <w:bottom w:val="single" w:sz="8" w:space="0" w:color="000000"/>
              <w:right w:val="nil"/>
            </w:tcBorders>
            <w:shd w:val="clear" w:color="auto" w:fill="E2EFDA"/>
            <w:tcMar>
              <w:top w:w="60" w:type="dxa"/>
              <w:left w:w="100" w:type="dxa"/>
              <w:bottom w:w="60" w:type="dxa"/>
              <w:right w:w="100" w:type="dxa"/>
            </w:tcMar>
          </w:tcPr>
          <w:p w14:paraId="66F52DEE" w14:textId="77777777" w:rsidR="009D2FD2" w:rsidRDefault="00000000">
            <w:pPr>
              <w:pStyle w:val="Tablacelda"/>
              <w:jc w:val="right"/>
            </w:pPr>
            <w:r>
              <w:t>3.365,32</w:t>
            </w:r>
          </w:p>
        </w:tc>
        <w:tc>
          <w:tcPr>
            <w:tcW w:w="2360" w:type="dxa"/>
            <w:tcBorders>
              <w:top w:val="nil"/>
              <w:left w:val="nil"/>
              <w:bottom w:val="single" w:sz="8" w:space="0" w:color="000000"/>
              <w:right w:val="nil"/>
            </w:tcBorders>
            <w:shd w:val="clear" w:color="auto" w:fill="E2EFDA"/>
            <w:tcMar>
              <w:top w:w="60" w:type="dxa"/>
              <w:left w:w="100" w:type="dxa"/>
              <w:bottom w:w="60" w:type="dxa"/>
              <w:right w:w="100" w:type="dxa"/>
            </w:tcMar>
          </w:tcPr>
          <w:p w14:paraId="66EFF93F" w14:textId="77777777" w:rsidR="009D2FD2" w:rsidRDefault="00000000">
            <w:pPr>
              <w:pStyle w:val="Tablacelda"/>
              <w:jc w:val="right"/>
            </w:pPr>
            <w:r>
              <w:t>+20,98 (+0,62 %)</w:t>
            </w:r>
          </w:p>
        </w:tc>
      </w:tr>
    </w:tbl>
    <w:p w14:paraId="0896708D" w14:textId="77777777" w:rsidR="009D2FD2" w:rsidRDefault="00000000">
      <w:pPr>
        <w:pStyle w:val="Nota"/>
      </w:pPr>
      <w:r>
        <w:rPr>
          <w:i/>
          <w:iCs/>
        </w:rPr>
        <w:t xml:space="preserve">Nota. </w:t>
      </w:r>
      <w:r>
        <w:t xml:space="preserve">Fuentes de las tasas: </w:t>
      </w:r>
      <w:hyperlink r:id="rId47" w:history="1">
        <w:r w:rsidR="009D2FD2">
          <w:rPr>
            <w:rStyle w:val="Hipervnculo"/>
          </w:rPr>
          <w:t>Banco de la República (s. f.)</w:t>
        </w:r>
      </w:hyperlink>
      <w:r>
        <w:t xml:space="preserve">, </w:t>
      </w:r>
      <w:hyperlink r:id="rId48" w:history="1">
        <w:r w:rsidR="009D2FD2">
          <w:rPr>
            <w:rStyle w:val="Hipervnculo"/>
          </w:rPr>
          <w:t>Board of Governors of the Federal Reserve System (2026)</w:t>
        </w:r>
      </w:hyperlink>
      <w:r>
        <w:t xml:space="preserve">, </w:t>
      </w:r>
    </w:p>
    <w:p w14:paraId="0E6891BD" w14:textId="77777777" w:rsidR="009D2FD2" w:rsidRDefault="008B78F8">
      <w:r>
        <w:t>El forward observado está 21 pesos (0,62 %) por encima del teórico. Despejando la fórmula, el forward de mercado implica una tasa en pesos a un año de 12,95 %, unos 70 puntos básicos por encima de la tasa de política. Esta diferencia puede venir de las siguientes razones:</w:t>
      </w:r>
    </w:p>
    <w:p w14:paraId="5CABC232" w14:textId="77777777" w:rsidR="009D2FD2" w:rsidRDefault="00000000">
      <w:pPr>
        <w:pStyle w:val="Prrafodelista"/>
        <w:numPr>
          <w:ilvl w:val="0"/>
          <w:numId w:val="2"/>
        </w:numPr>
      </w:pPr>
      <w:r>
        <w:rPr>
          <w:b/>
          <w:bCs/>
        </w:rPr>
        <w:t xml:space="preserve">Desalineación entre las tasas utilizadas. </w:t>
      </w:r>
      <w:r>
        <w:t xml:space="preserve">La tasa de política es a un día, mientras que el forward es a un año. El mercado espera que el Banco de la República suba la tasa a 12,50 %. El forward observado queda justo entre la referencia de la tasa de política y la del TES, lo que sugiere que la mayor parte de la brecha se explica por la tasa elegida y no por un error de precio. </w:t>
      </w:r>
    </w:p>
    <w:p w14:paraId="4445DD64" w14:textId="77777777" w:rsidR="009D2FD2" w:rsidRDefault="00000000">
      <w:pPr>
        <w:pStyle w:val="Prrafodelista"/>
        <w:numPr>
          <w:ilvl w:val="0"/>
          <w:numId w:val="2"/>
        </w:numPr>
      </w:pPr>
      <w:r>
        <w:rPr>
          <w:b/>
          <w:bCs/>
        </w:rPr>
        <w:t xml:space="preserve">Spread de negociación. </w:t>
      </w:r>
      <w:r>
        <w:t>Cbonds publica un precio medio. Una empresa que compra dólares a plazo paga el precio de venta del banco más un margen comercial, que suele ser mayor para plazos largos y montos pequeños como USD 15.318.</w:t>
      </w:r>
    </w:p>
    <w:p w14:paraId="474B2E61" w14:textId="77777777" w:rsidR="009D2FD2" w:rsidRDefault="00000000">
      <w:pPr>
        <w:pStyle w:val="Prrafodelista"/>
        <w:numPr>
          <w:ilvl w:val="0"/>
          <w:numId w:val="2"/>
        </w:numPr>
      </w:pPr>
      <w:r>
        <w:rPr>
          <w:b/>
          <w:bCs/>
        </w:rPr>
        <w:t xml:space="preserve">Liquidez. </w:t>
      </w:r>
      <w:r>
        <w:t>Los forwards a un año se negocian mucho menos que los de corto plazo, con menos contrapartes, lo que amplía los spreads y aleja el precio de la paridad que debería tener en teoria.</w:t>
      </w:r>
    </w:p>
    <w:p w14:paraId="2A3F0C0B" w14:textId="77777777" w:rsidR="009D2FD2" w:rsidRDefault="00000000">
      <w:pPr>
        <w:pStyle w:val="TtuloAPAnivel2"/>
      </w:pPr>
      <w:r>
        <w:t>B.2. Escenarios de protección y costo de oportunidad</w:t>
      </w:r>
    </w:p>
    <w:p w14:paraId="4FBDBC71" w14:textId="77777777" w:rsidR="009D2FD2" w:rsidRDefault="00000000">
      <w:r>
        <w:t xml:space="preserve">Para cada una de las 20.000 trayectorias simuladas en la parte A se toma la TRM en cada fecha de pacto, se calcula el forward con la prima de mercado y se compara con la TRM al vencimiento. Si la TRM al vencimiento es mayor que el forward, el contrato genera protección </w:t>
      </w:r>
      <w:r>
        <w:lastRenderedPageBreak/>
        <w:t xml:space="preserve">si, la empresa recibe una compensación y paga menos de lo que habría pagado sin cobertura. Si es menor, la empresa paga la diferencia y habría pagado menos sin cobertura. </w:t>
      </w:r>
    </w:p>
    <w:p w14:paraId="3CF3089A" w14:textId="77777777" w:rsidR="009D2FD2" w:rsidRDefault="00000000">
      <w:r>
        <w:t xml:space="preserve">la simulación se repitió con innovaciones t de Student, que asignan más probabilidad a movimientos extremos que la normal. Los grados de libertad se estimaron por máxima verosimilitud con los 108 rendimientos trimestrales de la TRM desde 1999 con ν  demás o menos 8,9. Esos rendimientos son casi normales por lo que también se incluyó una t de estrés con ν = 4. En las tres versiones se mantiene la misma volatilidad y los mismos rangos de 80 % del primer año, de modo que solo cambian las colas. </w:t>
      </w:r>
    </w:p>
    <w:p w14:paraId="529DD5B5" w14:textId="77777777" w:rsidR="00D20524" w:rsidRDefault="00000000">
      <w:pPr>
        <w:pStyle w:val="Rtulotablaofigura"/>
      </w:pPr>
      <w:r>
        <w:rPr>
          <w:b/>
          <w:bCs/>
        </w:rPr>
        <w:t>Tabla 15</w:t>
      </w:r>
    </w:p>
    <w:p w14:paraId="0C1C71D3" w14:textId="77777777" w:rsidR="00D20524" w:rsidRDefault="00000000">
      <w:pPr>
        <w:pStyle w:val="Ttulotablaofigura"/>
      </w:pPr>
      <w:r>
        <w:t>Protección y costo de oportunidad de los forwards según la distribución</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5160"/>
        <w:gridCol w:w="1400"/>
        <w:gridCol w:w="1400"/>
        <w:gridCol w:w="1400"/>
      </w:tblGrid>
      <w:tr w:rsidR="009D2FD2" w14:paraId="3D4878B9" w14:textId="77777777">
        <w:trPr>
          <w:tblHeader/>
        </w:trPr>
        <w:tc>
          <w:tcPr>
            <w:tcW w:w="51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A4762CD" w14:textId="77777777" w:rsidR="009D2FD2" w:rsidRDefault="00000000">
            <w:pPr>
              <w:pStyle w:val="Tablacelda"/>
            </w:pPr>
            <w:r>
              <w:rPr>
                <w:b/>
                <w:bCs/>
              </w:rPr>
              <w:t>Indicador (cuatro forwards agrupados)</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FA62052" w14:textId="77777777" w:rsidR="009D2FD2" w:rsidRDefault="00000000">
            <w:pPr>
              <w:pStyle w:val="Tablacelda"/>
              <w:jc w:val="right"/>
            </w:pPr>
            <w:r>
              <w:rPr>
                <w:b/>
                <w:bCs/>
              </w:rPr>
              <w:t>Normal</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332DF6E" w14:textId="77777777" w:rsidR="009D2FD2" w:rsidRDefault="00000000">
            <w:pPr>
              <w:pStyle w:val="Tablacelda"/>
              <w:jc w:val="right"/>
            </w:pPr>
            <w:r>
              <w:rPr>
                <w:b/>
                <w:bCs/>
              </w:rPr>
              <w:t>t (ν = 8,9)</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1B2392E" w14:textId="77777777" w:rsidR="009D2FD2" w:rsidRDefault="00000000">
            <w:pPr>
              <w:pStyle w:val="Tablacelda"/>
              <w:jc w:val="right"/>
            </w:pPr>
            <w:r>
              <w:rPr>
                <w:b/>
                <w:bCs/>
              </w:rPr>
              <w:t>t (ν = 4)</w:t>
            </w:r>
          </w:p>
        </w:tc>
      </w:tr>
      <w:tr w:rsidR="009D2FD2" w14:paraId="1B92C95E" w14:textId="77777777">
        <w:tc>
          <w:tcPr>
            <w:tcW w:w="5160" w:type="dxa"/>
            <w:tcBorders>
              <w:top w:val="nil"/>
              <w:left w:val="nil"/>
              <w:bottom w:val="nil"/>
              <w:right w:val="nil"/>
            </w:tcBorders>
            <w:tcMar>
              <w:top w:w="60" w:type="dxa"/>
              <w:left w:w="100" w:type="dxa"/>
              <w:bottom w:w="60" w:type="dxa"/>
              <w:right w:w="100" w:type="dxa"/>
            </w:tcMar>
          </w:tcPr>
          <w:p w14:paraId="204C27FA" w14:textId="77777777" w:rsidR="009D2FD2" w:rsidRDefault="00000000">
            <w:pPr>
              <w:pStyle w:val="Tablacelda"/>
            </w:pPr>
            <w:r>
              <w:t>Protección (TRM al vencimiento &gt; forward)</w:t>
            </w:r>
          </w:p>
        </w:tc>
        <w:tc>
          <w:tcPr>
            <w:tcW w:w="1400" w:type="dxa"/>
            <w:tcBorders>
              <w:top w:val="nil"/>
              <w:left w:val="nil"/>
              <w:bottom w:val="nil"/>
              <w:right w:val="nil"/>
            </w:tcBorders>
            <w:tcMar>
              <w:top w:w="60" w:type="dxa"/>
              <w:left w:w="100" w:type="dxa"/>
              <w:bottom w:w="60" w:type="dxa"/>
              <w:right w:w="100" w:type="dxa"/>
            </w:tcMar>
          </w:tcPr>
          <w:p w14:paraId="24A66256" w14:textId="77777777" w:rsidR="009D2FD2" w:rsidRDefault="00000000">
            <w:pPr>
              <w:pStyle w:val="Tablacelda"/>
              <w:jc w:val="right"/>
            </w:pPr>
            <w:r>
              <w:t>32,5 %</w:t>
            </w:r>
          </w:p>
        </w:tc>
        <w:tc>
          <w:tcPr>
            <w:tcW w:w="1400" w:type="dxa"/>
            <w:tcBorders>
              <w:top w:val="nil"/>
              <w:left w:val="nil"/>
              <w:bottom w:val="nil"/>
              <w:right w:val="nil"/>
            </w:tcBorders>
            <w:tcMar>
              <w:top w:w="60" w:type="dxa"/>
              <w:left w:w="100" w:type="dxa"/>
              <w:bottom w:w="60" w:type="dxa"/>
              <w:right w:w="100" w:type="dxa"/>
            </w:tcMar>
          </w:tcPr>
          <w:p w14:paraId="1E173FC8" w14:textId="77777777" w:rsidR="009D2FD2" w:rsidRDefault="00000000">
            <w:pPr>
              <w:pStyle w:val="Tablacelda"/>
              <w:jc w:val="right"/>
            </w:pPr>
            <w:r>
              <w:t>32,4 %</w:t>
            </w:r>
          </w:p>
        </w:tc>
        <w:tc>
          <w:tcPr>
            <w:tcW w:w="1400" w:type="dxa"/>
            <w:tcBorders>
              <w:top w:val="nil"/>
              <w:left w:val="nil"/>
              <w:bottom w:val="nil"/>
              <w:right w:val="nil"/>
            </w:tcBorders>
            <w:tcMar>
              <w:top w:w="60" w:type="dxa"/>
              <w:left w:w="100" w:type="dxa"/>
              <w:bottom w:w="60" w:type="dxa"/>
              <w:right w:w="100" w:type="dxa"/>
            </w:tcMar>
          </w:tcPr>
          <w:p w14:paraId="7CF69A85" w14:textId="77777777" w:rsidR="009D2FD2" w:rsidRDefault="00000000">
            <w:pPr>
              <w:pStyle w:val="Tablacelda"/>
              <w:jc w:val="right"/>
            </w:pPr>
            <w:r>
              <w:t>30,7 %</w:t>
            </w:r>
          </w:p>
        </w:tc>
      </w:tr>
      <w:tr w:rsidR="009D2FD2" w14:paraId="4A7348A7" w14:textId="77777777">
        <w:tc>
          <w:tcPr>
            <w:tcW w:w="5160" w:type="dxa"/>
            <w:tcBorders>
              <w:top w:val="nil"/>
              <w:left w:val="nil"/>
              <w:bottom w:val="nil"/>
              <w:right w:val="nil"/>
            </w:tcBorders>
            <w:tcMar>
              <w:top w:w="60" w:type="dxa"/>
              <w:left w:w="100" w:type="dxa"/>
              <w:bottom w:w="60" w:type="dxa"/>
              <w:right w:w="100" w:type="dxa"/>
            </w:tcMar>
          </w:tcPr>
          <w:p w14:paraId="6943E819" w14:textId="77777777" w:rsidR="009D2FD2" w:rsidRDefault="00000000">
            <w:pPr>
              <w:pStyle w:val="Tablacelda"/>
            </w:pPr>
            <w:r>
              <w:t>Costo de oportunidad (TRM al vencimiento &lt; forward)</w:t>
            </w:r>
          </w:p>
        </w:tc>
        <w:tc>
          <w:tcPr>
            <w:tcW w:w="1400" w:type="dxa"/>
            <w:tcBorders>
              <w:top w:val="nil"/>
              <w:left w:val="nil"/>
              <w:bottom w:val="nil"/>
              <w:right w:val="nil"/>
            </w:tcBorders>
            <w:tcMar>
              <w:top w:w="60" w:type="dxa"/>
              <w:left w:w="100" w:type="dxa"/>
              <w:bottom w:w="60" w:type="dxa"/>
              <w:right w:w="100" w:type="dxa"/>
            </w:tcMar>
          </w:tcPr>
          <w:p w14:paraId="6D2BF5D3" w14:textId="77777777" w:rsidR="009D2FD2" w:rsidRDefault="00000000">
            <w:pPr>
              <w:pStyle w:val="Tablacelda"/>
              <w:jc w:val="right"/>
            </w:pPr>
            <w:r>
              <w:t>67,5 %</w:t>
            </w:r>
          </w:p>
        </w:tc>
        <w:tc>
          <w:tcPr>
            <w:tcW w:w="1400" w:type="dxa"/>
            <w:tcBorders>
              <w:top w:val="nil"/>
              <w:left w:val="nil"/>
              <w:bottom w:val="nil"/>
              <w:right w:val="nil"/>
            </w:tcBorders>
            <w:tcMar>
              <w:top w:w="60" w:type="dxa"/>
              <w:left w:w="100" w:type="dxa"/>
              <w:bottom w:w="60" w:type="dxa"/>
              <w:right w:w="100" w:type="dxa"/>
            </w:tcMar>
          </w:tcPr>
          <w:p w14:paraId="4A828B53" w14:textId="77777777" w:rsidR="009D2FD2" w:rsidRDefault="00000000">
            <w:pPr>
              <w:pStyle w:val="Tablacelda"/>
              <w:jc w:val="right"/>
            </w:pPr>
            <w:r>
              <w:t>67,6 %</w:t>
            </w:r>
          </w:p>
        </w:tc>
        <w:tc>
          <w:tcPr>
            <w:tcW w:w="1400" w:type="dxa"/>
            <w:tcBorders>
              <w:top w:val="nil"/>
              <w:left w:val="nil"/>
              <w:bottom w:val="nil"/>
              <w:right w:val="nil"/>
            </w:tcBorders>
            <w:tcMar>
              <w:top w:w="60" w:type="dxa"/>
              <w:left w:w="100" w:type="dxa"/>
              <w:bottom w:w="60" w:type="dxa"/>
              <w:right w:w="100" w:type="dxa"/>
            </w:tcMar>
          </w:tcPr>
          <w:p w14:paraId="0D27C9BE" w14:textId="77777777" w:rsidR="009D2FD2" w:rsidRDefault="00000000">
            <w:pPr>
              <w:pStyle w:val="Tablacelda"/>
              <w:jc w:val="right"/>
            </w:pPr>
            <w:r>
              <w:t>69,3 %</w:t>
            </w:r>
          </w:p>
        </w:tc>
      </w:tr>
      <w:tr w:rsidR="009D2FD2" w14:paraId="6AC98A98" w14:textId="77777777">
        <w:tc>
          <w:tcPr>
            <w:tcW w:w="5160" w:type="dxa"/>
            <w:tcBorders>
              <w:top w:val="nil"/>
              <w:left w:val="nil"/>
              <w:bottom w:val="nil"/>
              <w:right w:val="nil"/>
            </w:tcBorders>
            <w:tcMar>
              <w:top w:w="60" w:type="dxa"/>
              <w:left w:w="100" w:type="dxa"/>
              <w:bottom w:w="60" w:type="dxa"/>
              <w:right w:w="100" w:type="dxa"/>
            </w:tcMar>
          </w:tcPr>
          <w:p w14:paraId="43B70536" w14:textId="77777777" w:rsidR="009D2FD2" w:rsidRDefault="00000000">
            <w:pPr>
              <w:pStyle w:val="Tablacelda"/>
            </w:pPr>
            <w:r>
              <w:t>Pérdida cambiaria extrema (depreciación anual &gt; 20 %)</w:t>
            </w:r>
          </w:p>
        </w:tc>
        <w:tc>
          <w:tcPr>
            <w:tcW w:w="1400" w:type="dxa"/>
            <w:tcBorders>
              <w:top w:val="nil"/>
              <w:left w:val="nil"/>
              <w:bottom w:val="nil"/>
              <w:right w:val="nil"/>
            </w:tcBorders>
            <w:tcMar>
              <w:top w:w="60" w:type="dxa"/>
              <w:left w:w="100" w:type="dxa"/>
              <w:bottom w:w="60" w:type="dxa"/>
              <w:right w:w="100" w:type="dxa"/>
            </w:tcMar>
          </w:tcPr>
          <w:p w14:paraId="5F4FBA96" w14:textId="77777777" w:rsidR="009D2FD2" w:rsidRDefault="00000000">
            <w:pPr>
              <w:pStyle w:val="Tablacelda"/>
              <w:jc w:val="right"/>
            </w:pPr>
            <w:r>
              <w:t>10,6 %</w:t>
            </w:r>
          </w:p>
        </w:tc>
        <w:tc>
          <w:tcPr>
            <w:tcW w:w="1400" w:type="dxa"/>
            <w:tcBorders>
              <w:top w:val="nil"/>
              <w:left w:val="nil"/>
              <w:bottom w:val="nil"/>
              <w:right w:val="nil"/>
            </w:tcBorders>
            <w:tcMar>
              <w:top w:w="60" w:type="dxa"/>
              <w:left w:w="100" w:type="dxa"/>
              <w:bottom w:w="60" w:type="dxa"/>
              <w:right w:w="100" w:type="dxa"/>
            </w:tcMar>
          </w:tcPr>
          <w:p w14:paraId="10B601C2" w14:textId="77777777" w:rsidR="009D2FD2" w:rsidRDefault="00000000">
            <w:pPr>
              <w:pStyle w:val="Tablacelda"/>
              <w:jc w:val="right"/>
            </w:pPr>
            <w:r>
              <w:t>10,4 %</w:t>
            </w:r>
          </w:p>
        </w:tc>
        <w:tc>
          <w:tcPr>
            <w:tcW w:w="1400" w:type="dxa"/>
            <w:tcBorders>
              <w:top w:val="nil"/>
              <w:left w:val="nil"/>
              <w:bottom w:val="nil"/>
              <w:right w:val="nil"/>
            </w:tcBorders>
            <w:tcMar>
              <w:top w:w="60" w:type="dxa"/>
              <w:left w:w="100" w:type="dxa"/>
              <w:bottom w:w="60" w:type="dxa"/>
              <w:right w:w="100" w:type="dxa"/>
            </w:tcMar>
          </w:tcPr>
          <w:p w14:paraId="316E2D38" w14:textId="77777777" w:rsidR="009D2FD2" w:rsidRDefault="00000000">
            <w:pPr>
              <w:pStyle w:val="Tablacelda"/>
              <w:jc w:val="right"/>
            </w:pPr>
            <w:r>
              <w:t>9,2 %</w:t>
            </w:r>
          </w:p>
        </w:tc>
      </w:tr>
      <w:tr w:rsidR="009D2FD2" w14:paraId="797227A3" w14:textId="77777777">
        <w:tc>
          <w:tcPr>
            <w:tcW w:w="5160" w:type="dxa"/>
            <w:tcBorders>
              <w:top w:val="nil"/>
              <w:left w:val="nil"/>
              <w:bottom w:val="nil"/>
              <w:right w:val="nil"/>
            </w:tcBorders>
            <w:tcMar>
              <w:top w:w="60" w:type="dxa"/>
              <w:left w:w="100" w:type="dxa"/>
              <w:bottom w:w="60" w:type="dxa"/>
              <w:right w:w="100" w:type="dxa"/>
            </w:tcMar>
          </w:tcPr>
          <w:p w14:paraId="50D6CD79" w14:textId="77777777" w:rsidR="009D2FD2" w:rsidRDefault="00000000">
            <w:pPr>
              <w:pStyle w:val="Tablacelda"/>
            </w:pPr>
            <w:r>
              <w:t>Depreciación anual &gt; 30 %</w:t>
            </w:r>
          </w:p>
        </w:tc>
        <w:tc>
          <w:tcPr>
            <w:tcW w:w="1400" w:type="dxa"/>
            <w:tcBorders>
              <w:top w:val="nil"/>
              <w:left w:val="nil"/>
              <w:bottom w:val="nil"/>
              <w:right w:val="nil"/>
            </w:tcBorders>
            <w:tcMar>
              <w:top w:w="60" w:type="dxa"/>
              <w:left w:w="100" w:type="dxa"/>
              <w:bottom w:w="60" w:type="dxa"/>
              <w:right w:w="100" w:type="dxa"/>
            </w:tcMar>
          </w:tcPr>
          <w:p w14:paraId="5B95764B" w14:textId="77777777" w:rsidR="009D2FD2" w:rsidRDefault="00000000">
            <w:pPr>
              <w:pStyle w:val="Tablacelda"/>
              <w:jc w:val="right"/>
            </w:pPr>
            <w:r>
              <w:t>3,0 %</w:t>
            </w:r>
          </w:p>
        </w:tc>
        <w:tc>
          <w:tcPr>
            <w:tcW w:w="1400" w:type="dxa"/>
            <w:tcBorders>
              <w:top w:val="nil"/>
              <w:left w:val="nil"/>
              <w:bottom w:val="nil"/>
              <w:right w:val="nil"/>
            </w:tcBorders>
            <w:tcMar>
              <w:top w:w="60" w:type="dxa"/>
              <w:left w:w="100" w:type="dxa"/>
              <w:bottom w:w="60" w:type="dxa"/>
              <w:right w:w="100" w:type="dxa"/>
            </w:tcMar>
          </w:tcPr>
          <w:p w14:paraId="0FE80533" w14:textId="77777777" w:rsidR="009D2FD2" w:rsidRDefault="00000000">
            <w:pPr>
              <w:pStyle w:val="Tablacelda"/>
              <w:jc w:val="right"/>
            </w:pPr>
            <w:r>
              <w:t>3,3 %</w:t>
            </w:r>
          </w:p>
        </w:tc>
        <w:tc>
          <w:tcPr>
            <w:tcW w:w="1400" w:type="dxa"/>
            <w:tcBorders>
              <w:top w:val="nil"/>
              <w:left w:val="nil"/>
              <w:bottom w:val="nil"/>
              <w:right w:val="nil"/>
            </w:tcBorders>
            <w:tcMar>
              <w:top w:w="60" w:type="dxa"/>
              <w:left w:w="100" w:type="dxa"/>
              <w:bottom w:w="60" w:type="dxa"/>
              <w:right w:w="100" w:type="dxa"/>
            </w:tcMar>
          </w:tcPr>
          <w:p w14:paraId="531C22DC" w14:textId="77777777" w:rsidR="009D2FD2" w:rsidRDefault="00000000">
            <w:pPr>
              <w:pStyle w:val="Tablacelda"/>
              <w:jc w:val="right"/>
            </w:pPr>
            <w:r>
              <w:t>3,1 %</w:t>
            </w:r>
          </w:p>
        </w:tc>
      </w:tr>
      <w:tr w:rsidR="009D2FD2" w14:paraId="5B0F9CE1" w14:textId="77777777">
        <w:tc>
          <w:tcPr>
            <w:tcW w:w="5160" w:type="dxa"/>
            <w:tcBorders>
              <w:top w:val="nil"/>
              <w:left w:val="nil"/>
              <w:bottom w:val="nil"/>
              <w:right w:val="nil"/>
            </w:tcBorders>
            <w:tcMar>
              <w:top w:w="60" w:type="dxa"/>
              <w:left w:w="100" w:type="dxa"/>
              <w:bottom w:w="60" w:type="dxa"/>
              <w:right w:w="100" w:type="dxa"/>
            </w:tcMar>
          </w:tcPr>
          <w:p w14:paraId="2B6790A0" w14:textId="77777777" w:rsidR="009D2FD2" w:rsidRDefault="00000000">
            <w:pPr>
              <w:pStyle w:val="Tablacelda"/>
            </w:pPr>
            <w:r>
              <w:t>Apreciación anual &gt; 20 % (costo de oportunidad extremo)</w:t>
            </w:r>
          </w:p>
        </w:tc>
        <w:tc>
          <w:tcPr>
            <w:tcW w:w="1400" w:type="dxa"/>
            <w:tcBorders>
              <w:top w:val="nil"/>
              <w:left w:val="nil"/>
              <w:bottom w:val="nil"/>
              <w:right w:val="nil"/>
            </w:tcBorders>
            <w:tcMar>
              <w:top w:w="60" w:type="dxa"/>
              <w:left w:w="100" w:type="dxa"/>
              <w:bottom w:w="60" w:type="dxa"/>
              <w:right w:w="100" w:type="dxa"/>
            </w:tcMar>
          </w:tcPr>
          <w:p w14:paraId="3F242011" w14:textId="77777777" w:rsidR="009D2FD2" w:rsidRDefault="00000000">
            <w:pPr>
              <w:pStyle w:val="Tablacelda"/>
              <w:jc w:val="right"/>
            </w:pPr>
            <w:r>
              <w:t>3,3 %</w:t>
            </w:r>
          </w:p>
        </w:tc>
        <w:tc>
          <w:tcPr>
            <w:tcW w:w="1400" w:type="dxa"/>
            <w:tcBorders>
              <w:top w:val="nil"/>
              <w:left w:val="nil"/>
              <w:bottom w:val="nil"/>
              <w:right w:val="nil"/>
            </w:tcBorders>
            <w:tcMar>
              <w:top w:w="60" w:type="dxa"/>
              <w:left w:w="100" w:type="dxa"/>
              <w:bottom w:w="60" w:type="dxa"/>
              <w:right w:w="100" w:type="dxa"/>
            </w:tcMar>
          </w:tcPr>
          <w:p w14:paraId="67EF1320" w14:textId="77777777" w:rsidR="009D2FD2" w:rsidRDefault="00000000">
            <w:pPr>
              <w:pStyle w:val="Tablacelda"/>
              <w:jc w:val="right"/>
            </w:pPr>
            <w:r>
              <w:t>3,3 %</w:t>
            </w:r>
          </w:p>
        </w:tc>
        <w:tc>
          <w:tcPr>
            <w:tcW w:w="1400" w:type="dxa"/>
            <w:tcBorders>
              <w:top w:val="nil"/>
              <w:left w:val="nil"/>
              <w:bottom w:val="nil"/>
              <w:right w:val="nil"/>
            </w:tcBorders>
            <w:tcMar>
              <w:top w:w="60" w:type="dxa"/>
              <w:left w:w="100" w:type="dxa"/>
              <w:bottom w:w="60" w:type="dxa"/>
              <w:right w:w="100" w:type="dxa"/>
            </w:tcMar>
          </w:tcPr>
          <w:p w14:paraId="59BDA27E" w14:textId="77777777" w:rsidR="009D2FD2" w:rsidRDefault="00000000">
            <w:pPr>
              <w:pStyle w:val="Tablacelda"/>
              <w:jc w:val="right"/>
            </w:pPr>
            <w:r>
              <w:t>3,1 %</w:t>
            </w:r>
          </w:p>
        </w:tc>
      </w:tr>
      <w:tr w:rsidR="009D2FD2" w14:paraId="1AD5E97E" w14:textId="77777777">
        <w:tc>
          <w:tcPr>
            <w:tcW w:w="5160" w:type="dxa"/>
            <w:tcBorders>
              <w:top w:val="nil"/>
              <w:left w:val="nil"/>
              <w:bottom w:val="nil"/>
              <w:right w:val="nil"/>
            </w:tcBorders>
            <w:tcMar>
              <w:top w:w="60" w:type="dxa"/>
              <w:left w:w="100" w:type="dxa"/>
              <w:bottom w:w="60" w:type="dxa"/>
              <w:right w:w="100" w:type="dxa"/>
            </w:tcMar>
          </w:tcPr>
          <w:p w14:paraId="01024D2B" w14:textId="77777777" w:rsidR="009D2FD2" w:rsidRDefault="00000000">
            <w:pPr>
              <w:pStyle w:val="Tablacelda"/>
            </w:pPr>
            <w:r>
              <w:t>En años extremos: sobrecosto frente a la TRM del pacto, sin cobertura</w:t>
            </w:r>
          </w:p>
        </w:tc>
        <w:tc>
          <w:tcPr>
            <w:tcW w:w="1400" w:type="dxa"/>
            <w:tcBorders>
              <w:top w:val="nil"/>
              <w:left w:val="nil"/>
              <w:bottom w:val="nil"/>
              <w:right w:val="nil"/>
            </w:tcBorders>
            <w:tcMar>
              <w:top w:w="60" w:type="dxa"/>
              <w:left w:w="100" w:type="dxa"/>
              <w:bottom w:w="60" w:type="dxa"/>
              <w:right w:w="100" w:type="dxa"/>
            </w:tcMar>
          </w:tcPr>
          <w:p w14:paraId="50570D89" w14:textId="77777777" w:rsidR="009D2FD2" w:rsidRDefault="00000000">
            <w:pPr>
              <w:pStyle w:val="Tablacelda"/>
              <w:jc w:val="right"/>
            </w:pPr>
            <w:r>
              <w:t>17,1 %</w:t>
            </w:r>
          </w:p>
        </w:tc>
        <w:tc>
          <w:tcPr>
            <w:tcW w:w="1400" w:type="dxa"/>
            <w:tcBorders>
              <w:top w:val="nil"/>
              <w:left w:val="nil"/>
              <w:bottom w:val="nil"/>
              <w:right w:val="nil"/>
            </w:tcBorders>
            <w:tcMar>
              <w:top w:w="60" w:type="dxa"/>
              <w:left w:w="100" w:type="dxa"/>
              <w:bottom w:w="60" w:type="dxa"/>
              <w:right w:w="100" w:type="dxa"/>
            </w:tcMar>
          </w:tcPr>
          <w:p w14:paraId="36AF3356" w14:textId="77777777" w:rsidR="009D2FD2" w:rsidRDefault="00000000">
            <w:pPr>
              <w:pStyle w:val="Tablacelda"/>
              <w:jc w:val="right"/>
            </w:pPr>
            <w:r>
              <w:t>17,6 %</w:t>
            </w:r>
          </w:p>
        </w:tc>
        <w:tc>
          <w:tcPr>
            <w:tcW w:w="1400" w:type="dxa"/>
            <w:tcBorders>
              <w:top w:val="nil"/>
              <w:left w:val="nil"/>
              <w:bottom w:val="nil"/>
              <w:right w:val="nil"/>
            </w:tcBorders>
            <w:tcMar>
              <w:top w:w="60" w:type="dxa"/>
              <w:left w:w="100" w:type="dxa"/>
              <w:bottom w:w="60" w:type="dxa"/>
              <w:right w:w="100" w:type="dxa"/>
            </w:tcMar>
          </w:tcPr>
          <w:p w14:paraId="7A514521" w14:textId="77777777" w:rsidR="009D2FD2" w:rsidRDefault="00000000">
            <w:pPr>
              <w:pStyle w:val="Tablacelda"/>
              <w:jc w:val="right"/>
            </w:pPr>
            <w:r>
              <w:t>18,4 %</w:t>
            </w:r>
          </w:p>
        </w:tc>
      </w:tr>
      <w:tr w:rsidR="009D2FD2" w14:paraId="7B222053" w14:textId="77777777">
        <w:tc>
          <w:tcPr>
            <w:tcW w:w="5160" w:type="dxa"/>
            <w:tcBorders>
              <w:top w:val="nil"/>
              <w:left w:val="nil"/>
              <w:bottom w:val="nil"/>
              <w:right w:val="nil"/>
            </w:tcBorders>
            <w:tcMar>
              <w:top w:w="60" w:type="dxa"/>
              <w:left w:w="100" w:type="dxa"/>
              <w:bottom w:w="60" w:type="dxa"/>
              <w:right w:w="100" w:type="dxa"/>
            </w:tcMar>
          </w:tcPr>
          <w:p w14:paraId="1B6B4CD5" w14:textId="77777777" w:rsidR="009D2FD2" w:rsidRDefault="00000000">
            <w:pPr>
              <w:pStyle w:val="Tablacelda"/>
            </w:pPr>
            <w:r>
              <w:t>En años extremos: sobrecosto frente a la TRM del pacto, con cobertura</w:t>
            </w:r>
          </w:p>
        </w:tc>
        <w:tc>
          <w:tcPr>
            <w:tcW w:w="1400" w:type="dxa"/>
            <w:tcBorders>
              <w:top w:val="nil"/>
              <w:left w:val="nil"/>
              <w:bottom w:val="nil"/>
              <w:right w:val="nil"/>
            </w:tcBorders>
            <w:tcMar>
              <w:top w:w="60" w:type="dxa"/>
              <w:left w:w="100" w:type="dxa"/>
              <w:bottom w:w="60" w:type="dxa"/>
              <w:right w:w="100" w:type="dxa"/>
            </w:tcMar>
          </w:tcPr>
          <w:p w14:paraId="7E6F5AD8" w14:textId="77777777" w:rsidR="009D2FD2" w:rsidRDefault="00000000">
            <w:pPr>
              <w:pStyle w:val="Tablacelda"/>
              <w:jc w:val="right"/>
            </w:pPr>
            <w:r>
              <w:t>2,3 %</w:t>
            </w:r>
          </w:p>
        </w:tc>
        <w:tc>
          <w:tcPr>
            <w:tcW w:w="1400" w:type="dxa"/>
            <w:tcBorders>
              <w:top w:val="nil"/>
              <w:left w:val="nil"/>
              <w:bottom w:val="nil"/>
              <w:right w:val="nil"/>
            </w:tcBorders>
            <w:tcMar>
              <w:top w:w="60" w:type="dxa"/>
              <w:left w:w="100" w:type="dxa"/>
              <w:bottom w:w="60" w:type="dxa"/>
              <w:right w:w="100" w:type="dxa"/>
            </w:tcMar>
          </w:tcPr>
          <w:p w14:paraId="10FD1E03" w14:textId="77777777" w:rsidR="009D2FD2" w:rsidRDefault="00000000">
            <w:pPr>
              <w:pStyle w:val="Tablacelda"/>
              <w:jc w:val="right"/>
            </w:pPr>
            <w:r>
              <w:t>2,3 %</w:t>
            </w:r>
          </w:p>
        </w:tc>
        <w:tc>
          <w:tcPr>
            <w:tcW w:w="1400" w:type="dxa"/>
            <w:tcBorders>
              <w:top w:val="nil"/>
              <w:left w:val="nil"/>
              <w:bottom w:val="nil"/>
              <w:right w:val="nil"/>
            </w:tcBorders>
            <w:tcMar>
              <w:top w:w="60" w:type="dxa"/>
              <w:left w:w="100" w:type="dxa"/>
              <w:bottom w:w="60" w:type="dxa"/>
              <w:right w:w="100" w:type="dxa"/>
            </w:tcMar>
          </w:tcPr>
          <w:p w14:paraId="59751136" w14:textId="77777777" w:rsidR="009D2FD2" w:rsidRDefault="00000000">
            <w:pPr>
              <w:pStyle w:val="Tablacelda"/>
              <w:jc w:val="right"/>
            </w:pPr>
            <w:r>
              <w:t>1,9 %</w:t>
            </w:r>
          </w:p>
        </w:tc>
      </w:tr>
      <w:tr w:rsidR="009D2FD2" w14:paraId="6824ABED" w14:textId="77777777">
        <w:tc>
          <w:tcPr>
            <w:tcW w:w="5160" w:type="dxa"/>
            <w:tcBorders>
              <w:top w:val="nil"/>
              <w:left w:val="nil"/>
              <w:bottom w:val="nil"/>
              <w:right w:val="nil"/>
            </w:tcBorders>
            <w:tcMar>
              <w:top w:w="60" w:type="dxa"/>
              <w:left w:w="100" w:type="dxa"/>
              <w:bottom w:w="60" w:type="dxa"/>
              <w:right w:w="100" w:type="dxa"/>
            </w:tcMar>
          </w:tcPr>
          <w:p w14:paraId="673F1CF1" w14:textId="77777777" w:rsidR="009D2FD2" w:rsidRDefault="00000000">
            <w:pPr>
              <w:pStyle w:val="Tablacelda"/>
            </w:pPr>
            <w:r>
              <w:t>En años extremos: pérdida media sin / con cobertura (COP millones)</w:t>
            </w:r>
          </w:p>
        </w:tc>
        <w:tc>
          <w:tcPr>
            <w:tcW w:w="1400" w:type="dxa"/>
            <w:tcBorders>
              <w:top w:val="nil"/>
              <w:left w:val="nil"/>
              <w:bottom w:val="nil"/>
              <w:right w:val="nil"/>
            </w:tcBorders>
            <w:tcMar>
              <w:top w:w="60" w:type="dxa"/>
              <w:left w:w="100" w:type="dxa"/>
              <w:bottom w:w="60" w:type="dxa"/>
              <w:right w:w="100" w:type="dxa"/>
            </w:tcMar>
          </w:tcPr>
          <w:p w14:paraId="7B462F13" w14:textId="77777777" w:rsidR="009D2FD2" w:rsidRDefault="00000000">
            <w:pPr>
              <w:pStyle w:val="Tablacelda"/>
              <w:jc w:val="right"/>
            </w:pPr>
            <w:r>
              <w:t>14,2 / 1,8</w:t>
            </w:r>
          </w:p>
        </w:tc>
        <w:tc>
          <w:tcPr>
            <w:tcW w:w="1400" w:type="dxa"/>
            <w:tcBorders>
              <w:top w:val="nil"/>
              <w:left w:val="nil"/>
              <w:bottom w:val="nil"/>
              <w:right w:val="nil"/>
            </w:tcBorders>
            <w:tcMar>
              <w:top w:w="60" w:type="dxa"/>
              <w:left w:w="100" w:type="dxa"/>
              <w:bottom w:w="60" w:type="dxa"/>
              <w:right w:w="100" w:type="dxa"/>
            </w:tcMar>
          </w:tcPr>
          <w:p w14:paraId="4E88F0D3" w14:textId="77777777" w:rsidR="009D2FD2" w:rsidRDefault="00000000">
            <w:pPr>
              <w:pStyle w:val="Tablacelda"/>
              <w:jc w:val="right"/>
            </w:pPr>
            <w:r>
              <w:t>14,6 / 1,9</w:t>
            </w:r>
          </w:p>
        </w:tc>
        <w:tc>
          <w:tcPr>
            <w:tcW w:w="1400" w:type="dxa"/>
            <w:tcBorders>
              <w:top w:val="nil"/>
              <w:left w:val="nil"/>
              <w:bottom w:val="nil"/>
              <w:right w:val="nil"/>
            </w:tcBorders>
            <w:tcMar>
              <w:top w:w="60" w:type="dxa"/>
              <w:left w:w="100" w:type="dxa"/>
              <w:bottom w:w="60" w:type="dxa"/>
              <w:right w:w="100" w:type="dxa"/>
            </w:tcMar>
          </w:tcPr>
          <w:p w14:paraId="768BB17B" w14:textId="77777777" w:rsidR="009D2FD2" w:rsidRDefault="00000000">
            <w:pPr>
              <w:pStyle w:val="Tablacelda"/>
              <w:jc w:val="right"/>
            </w:pPr>
            <w:r>
              <w:t>15,3 / 1,6</w:t>
            </w:r>
          </w:p>
        </w:tc>
      </w:tr>
      <w:tr w:rsidR="009D2FD2" w14:paraId="68CE9DD2" w14:textId="77777777">
        <w:tc>
          <w:tcPr>
            <w:tcW w:w="5160" w:type="dxa"/>
            <w:tcBorders>
              <w:top w:val="nil"/>
              <w:left w:val="nil"/>
              <w:bottom w:val="nil"/>
              <w:right w:val="nil"/>
            </w:tcBorders>
            <w:tcMar>
              <w:top w:w="60" w:type="dxa"/>
              <w:left w:w="100" w:type="dxa"/>
              <w:bottom w:w="60" w:type="dxa"/>
              <w:right w:w="100" w:type="dxa"/>
            </w:tcMar>
          </w:tcPr>
          <w:p w14:paraId="61E480D5" w14:textId="77777777" w:rsidR="009D2FD2" w:rsidRDefault="00000000">
            <w:pPr>
              <w:pStyle w:val="Tablacelda"/>
            </w:pPr>
            <w:r>
              <w:t>Pérdida del derivado con cobertura exitosa</w:t>
            </w:r>
          </w:p>
        </w:tc>
        <w:tc>
          <w:tcPr>
            <w:tcW w:w="1400" w:type="dxa"/>
            <w:tcBorders>
              <w:top w:val="nil"/>
              <w:left w:val="nil"/>
              <w:bottom w:val="nil"/>
              <w:right w:val="nil"/>
            </w:tcBorders>
            <w:tcMar>
              <w:top w:w="60" w:type="dxa"/>
              <w:left w:w="100" w:type="dxa"/>
              <w:bottom w:w="60" w:type="dxa"/>
              <w:right w:w="100" w:type="dxa"/>
            </w:tcMar>
          </w:tcPr>
          <w:p w14:paraId="162F4E23" w14:textId="77777777" w:rsidR="009D2FD2" w:rsidRDefault="00000000">
            <w:pPr>
              <w:pStyle w:val="Tablacelda"/>
              <w:jc w:val="right"/>
            </w:pPr>
            <w:r>
              <w:t>67,4 %</w:t>
            </w:r>
          </w:p>
        </w:tc>
        <w:tc>
          <w:tcPr>
            <w:tcW w:w="1400" w:type="dxa"/>
            <w:tcBorders>
              <w:top w:val="nil"/>
              <w:left w:val="nil"/>
              <w:bottom w:val="nil"/>
              <w:right w:val="nil"/>
            </w:tcBorders>
            <w:tcMar>
              <w:top w:w="60" w:type="dxa"/>
              <w:left w:w="100" w:type="dxa"/>
              <w:bottom w:w="60" w:type="dxa"/>
              <w:right w:w="100" w:type="dxa"/>
            </w:tcMar>
          </w:tcPr>
          <w:p w14:paraId="2FD557A1" w14:textId="77777777" w:rsidR="009D2FD2" w:rsidRDefault="00000000">
            <w:pPr>
              <w:pStyle w:val="Tablacelda"/>
              <w:jc w:val="right"/>
            </w:pPr>
            <w:r>
              <w:t>67,5 %</w:t>
            </w:r>
          </w:p>
        </w:tc>
        <w:tc>
          <w:tcPr>
            <w:tcW w:w="1400" w:type="dxa"/>
            <w:tcBorders>
              <w:top w:val="nil"/>
              <w:left w:val="nil"/>
              <w:bottom w:val="nil"/>
              <w:right w:val="nil"/>
            </w:tcBorders>
            <w:tcMar>
              <w:top w:w="60" w:type="dxa"/>
              <w:left w:w="100" w:type="dxa"/>
              <w:bottom w:w="60" w:type="dxa"/>
              <w:right w:w="100" w:type="dxa"/>
            </w:tcMar>
          </w:tcPr>
          <w:p w14:paraId="268F76D5" w14:textId="77777777" w:rsidR="009D2FD2" w:rsidRDefault="00000000">
            <w:pPr>
              <w:pStyle w:val="Tablacelda"/>
              <w:jc w:val="right"/>
            </w:pPr>
            <w:r>
              <w:t>69,1 %</w:t>
            </w:r>
          </w:p>
        </w:tc>
      </w:tr>
      <w:tr w:rsidR="009D2FD2" w14:paraId="6FD35E95" w14:textId="77777777">
        <w:tc>
          <w:tcPr>
            <w:tcW w:w="5160" w:type="dxa"/>
            <w:tcBorders>
              <w:top w:val="nil"/>
              <w:left w:val="nil"/>
              <w:bottom w:val="nil"/>
              <w:right w:val="nil"/>
            </w:tcBorders>
            <w:tcMar>
              <w:top w:w="60" w:type="dxa"/>
              <w:left w:w="100" w:type="dxa"/>
              <w:bottom w:w="60" w:type="dxa"/>
              <w:right w:w="100" w:type="dxa"/>
            </w:tcMar>
          </w:tcPr>
          <w:p w14:paraId="59897653" w14:textId="77777777" w:rsidR="009D2FD2" w:rsidRDefault="00000000">
            <w:pPr>
              <w:pStyle w:val="Tablacelda"/>
            </w:pPr>
            <w:r>
              <w:t>Fracaso de la cobertura (costo &gt; presupuesto + 10 %)</w:t>
            </w:r>
          </w:p>
        </w:tc>
        <w:tc>
          <w:tcPr>
            <w:tcW w:w="1400" w:type="dxa"/>
            <w:tcBorders>
              <w:top w:val="nil"/>
              <w:left w:val="nil"/>
              <w:bottom w:val="nil"/>
              <w:right w:val="nil"/>
            </w:tcBorders>
            <w:tcMar>
              <w:top w:w="60" w:type="dxa"/>
              <w:left w:w="100" w:type="dxa"/>
              <w:bottom w:w="60" w:type="dxa"/>
              <w:right w:w="100" w:type="dxa"/>
            </w:tcMar>
          </w:tcPr>
          <w:p w14:paraId="098D43B8" w14:textId="77777777" w:rsidR="009D2FD2" w:rsidRDefault="00000000">
            <w:pPr>
              <w:pStyle w:val="Tablacelda"/>
              <w:jc w:val="right"/>
            </w:pPr>
            <w:r>
              <w:t>0,07 %</w:t>
            </w:r>
          </w:p>
        </w:tc>
        <w:tc>
          <w:tcPr>
            <w:tcW w:w="1400" w:type="dxa"/>
            <w:tcBorders>
              <w:top w:val="nil"/>
              <w:left w:val="nil"/>
              <w:bottom w:val="nil"/>
              <w:right w:val="nil"/>
            </w:tcBorders>
            <w:tcMar>
              <w:top w:w="60" w:type="dxa"/>
              <w:left w:w="100" w:type="dxa"/>
              <w:bottom w:w="60" w:type="dxa"/>
              <w:right w:w="100" w:type="dxa"/>
            </w:tcMar>
          </w:tcPr>
          <w:p w14:paraId="0B6B9D19" w14:textId="77777777" w:rsidR="009D2FD2" w:rsidRDefault="00000000">
            <w:pPr>
              <w:pStyle w:val="Tablacelda"/>
              <w:jc w:val="right"/>
            </w:pPr>
            <w:r>
              <w:t>0,13 %</w:t>
            </w:r>
          </w:p>
        </w:tc>
        <w:tc>
          <w:tcPr>
            <w:tcW w:w="1400" w:type="dxa"/>
            <w:tcBorders>
              <w:top w:val="nil"/>
              <w:left w:val="nil"/>
              <w:bottom w:val="nil"/>
              <w:right w:val="nil"/>
            </w:tcBorders>
            <w:tcMar>
              <w:top w:w="60" w:type="dxa"/>
              <w:left w:w="100" w:type="dxa"/>
              <w:bottom w:w="60" w:type="dxa"/>
              <w:right w:w="100" w:type="dxa"/>
            </w:tcMar>
          </w:tcPr>
          <w:p w14:paraId="3A7684D9" w14:textId="77777777" w:rsidR="009D2FD2" w:rsidRDefault="00000000">
            <w:pPr>
              <w:pStyle w:val="Tablacelda"/>
              <w:jc w:val="right"/>
            </w:pPr>
            <w:r>
              <w:t>0,35 %</w:t>
            </w:r>
          </w:p>
        </w:tc>
      </w:tr>
      <w:tr w:rsidR="009D2FD2" w14:paraId="6C6DAC90" w14:textId="77777777">
        <w:tc>
          <w:tcPr>
            <w:tcW w:w="5160" w:type="dxa"/>
            <w:tcBorders>
              <w:top w:val="nil"/>
              <w:left w:val="nil"/>
              <w:bottom w:val="single" w:sz="8" w:space="0" w:color="000000"/>
              <w:right w:val="nil"/>
            </w:tcBorders>
            <w:tcMar>
              <w:top w:w="60" w:type="dxa"/>
              <w:left w:w="100" w:type="dxa"/>
              <w:bottom w:w="60" w:type="dxa"/>
              <w:right w:w="100" w:type="dxa"/>
            </w:tcMar>
          </w:tcPr>
          <w:p w14:paraId="1AE06D99" w14:textId="77777777" w:rsidR="009D2FD2" w:rsidRDefault="00000000">
            <w:pPr>
              <w:pStyle w:val="Tablacelda"/>
            </w:pPr>
            <w:r>
              <w:t>Sin cobertura: costo &gt; presupuesto + 10 %</w:t>
            </w:r>
          </w:p>
        </w:tc>
        <w:tc>
          <w:tcPr>
            <w:tcW w:w="1400" w:type="dxa"/>
            <w:tcBorders>
              <w:top w:val="nil"/>
              <w:left w:val="nil"/>
              <w:bottom w:val="single" w:sz="8" w:space="0" w:color="000000"/>
              <w:right w:val="nil"/>
            </w:tcBorders>
            <w:tcMar>
              <w:top w:w="60" w:type="dxa"/>
              <w:left w:w="100" w:type="dxa"/>
              <w:bottom w:w="60" w:type="dxa"/>
              <w:right w:w="100" w:type="dxa"/>
            </w:tcMar>
          </w:tcPr>
          <w:p w14:paraId="2ED9369D" w14:textId="77777777" w:rsidR="009D2FD2" w:rsidRDefault="00000000">
            <w:pPr>
              <w:pStyle w:val="Tablacelda"/>
              <w:jc w:val="right"/>
            </w:pPr>
            <w:r>
              <w:t>3,81 %</w:t>
            </w:r>
          </w:p>
        </w:tc>
        <w:tc>
          <w:tcPr>
            <w:tcW w:w="1400" w:type="dxa"/>
            <w:tcBorders>
              <w:top w:val="nil"/>
              <w:left w:val="nil"/>
              <w:bottom w:val="single" w:sz="8" w:space="0" w:color="000000"/>
              <w:right w:val="nil"/>
            </w:tcBorders>
            <w:tcMar>
              <w:top w:w="60" w:type="dxa"/>
              <w:left w:w="100" w:type="dxa"/>
              <w:bottom w:w="60" w:type="dxa"/>
              <w:right w:w="100" w:type="dxa"/>
            </w:tcMar>
          </w:tcPr>
          <w:p w14:paraId="5E10E912" w14:textId="77777777" w:rsidR="009D2FD2" w:rsidRDefault="00000000">
            <w:pPr>
              <w:pStyle w:val="Tablacelda"/>
              <w:jc w:val="right"/>
            </w:pPr>
            <w:r>
              <w:t>3,97 %</w:t>
            </w:r>
          </w:p>
        </w:tc>
        <w:tc>
          <w:tcPr>
            <w:tcW w:w="1400" w:type="dxa"/>
            <w:tcBorders>
              <w:top w:val="nil"/>
              <w:left w:val="nil"/>
              <w:bottom w:val="single" w:sz="8" w:space="0" w:color="000000"/>
              <w:right w:val="nil"/>
            </w:tcBorders>
            <w:tcMar>
              <w:top w:w="60" w:type="dxa"/>
              <w:left w:w="100" w:type="dxa"/>
              <w:bottom w:w="60" w:type="dxa"/>
              <w:right w:w="100" w:type="dxa"/>
            </w:tcMar>
          </w:tcPr>
          <w:p w14:paraId="49CA2EAE" w14:textId="77777777" w:rsidR="009D2FD2" w:rsidRDefault="00000000">
            <w:pPr>
              <w:pStyle w:val="Tablacelda"/>
              <w:jc w:val="right"/>
            </w:pPr>
            <w:r>
              <w:t>3,66 %</w:t>
            </w:r>
          </w:p>
        </w:tc>
      </w:tr>
    </w:tbl>
    <w:p w14:paraId="46820AF8" w14:textId="77777777" w:rsidR="00D34627" w:rsidRDefault="00D34627"/>
    <w:p w14:paraId="05EBB346" w14:textId="77777777" w:rsidR="009D2FD2" w:rsidRDefault="00000000">
      <w:r>
        <w:t xml:space="preserve">El forward produce protección en un tercio de los casos y costo de oportunidad en los otros dos tercios. La razón es que la prima forward refleja el diferencial de tasas entre los dos países (≈ 8,5 puntos) y no la depreciación esperada del peso, que en la simulación es de ≈ 1,9 % </w:t>
      </w:r>
      <w:r>
        <w:lastRenderedPageBreak/>
        <w:t>anual. Este fenómeno es conocido en finanzas internacionales: en la práctica, las monedas con tasas altas no se deprecian tanto como predice el diferencial, y por eso cubrirse en una moneda de tasa alta suele tener un costo esperado. Cuando ocurre un choque fuerte, en cambio, la cobertura muestra su valor: en los años con depreciación superior a 20 %, el costo de las cuotas sube cerca de 17 % frente a la TRM del día del pacto sin cobertura, pero solo 2 % con ella, y la pérdida media baja de COP 14,2 millones a COP 1,8 millones, es decir, entre 85 % y 90 %.</w:t>
      </w:r>
    </w:p>
    <w:p w14:paraId="3E493C7A" w14:textId="77777777" w:rsidR="009D2FD2" w:rsidRDefault="00000000">
      <w:r>
        <w:t>Es importante diferenciar la pérdida del derivado del fracaso de la cobertura. El derivado pierde cuando el NDF se liquida en contra, lo que ocurre en dos de cada tres años. Pero el objetivo de la cobertura no es ganar dinero, sino que la empresa sepa con anticipación cuánto le costará pagar las cuotas. Por ejemplo, en el escenario central con innovaciones normales, el forward del año 7 se liquidó con una pérdida de COP 4,2 millones, pero el costo de ese año quedó 4,4 % por debajo del presupuesto calculado con el precio forward: el derivado perdió y la cobertura funcionó. El análisis define el fracaso de la cobertura como un año en que, aun cubierto, el costo supera el presupuesto en más de 10 %. Esto ocurre en menos de 0,4 % de los años bajo las tres distribuciones, frente a cerca de 4 % sin cobertura. Lo que sí puede fallar es la parte que no se cubre: el 25 % abierto y el desfase entre las cuotas trimestrales y el vencimiento anual del forward.</w:t>
      </w:r>
    </w:p>
    <w:p w14:paraId="1AA1E911" w14:textId="77777777" w:rsidR="009D2FD2" w:rsidRDefault="00000000">
      <w:r>
        <w:t xml:space="preserve">Las diferencias entre la normal y la t de Student son pequeñas. Con ν ≈ 8,9 las proporciones prácticamente no cambian, porque los rendimientos trimestrales del peso son casi normales y, además, en un año se suman cuatro choques trimestrales, lo que suaviza las colas. Con la t de estrés (ν = 4) bajan los casos moderados y aumentan los muy extremos (depreciaciones de más de 30 %), y la pérdida sin cobertura en los años extremos sube a COP 15,3 millones; la cobertura absorbe la misma fracción. Una limitación es que la t de Student es </w:t>
      </w:r>
      <w:r>
        <w:lastRenderedPageBreak/>
        <w:t>simétrica y supone choques independientes, mientras que las crisis cambiarias reales tienden a concentrar varios trimestres malos seguidos.</w:t>
      </w:r>
    </w:p>
    <w:p w14:paraId="5076F55C" w14:textId="77777777" w:rsidR="009D2FD2" w:rsidRDefault="00000000">
      <w:pPr>
        <w:pStyle w:val="TtuloAPAnivel2"/>
      </w:pPr>
      <w:r>
        <w:t>B.3. Flujo consolidado y evaluación financiera</w:t>
      </w:r>
    </w:p>
    <w:p w14:paraId="7EAFAF7F" w14:textId="77777777" w:rsidR="009D2FD2" w:rsidRDefault="00000000">
      <w:r>
        <w:t xml:space="preserve">En el trimestre 0 se registran la compra de la maquinaria (−COP 400 millones), el aporte propio (+COP 40 millones) y el desembolso del crédito (USD 113.397,61, equivalentes a +COP 360 millones). Del trimestre 1 al 40 se registran las cuotas de USD 5.106,06, su conversión a pesos con la TRM del escenario y, en los trimestres 28, 32, 36 y 40, la liquidación de cada forward. </w:t>
      </w:r>
    </w:p>
    <w:p w14:paraId="34EC9C9D" w14:textId="77777777" w:rsidR="009D2FD2" w:rsidRDefault="00000000">
      <w:r>
        <w:t>Para comparar escenarios se escogieron caminos reales de la simulación. Entre los caminos cuya TRM al final del año 6 es cercana a la mediana, se tomaron los percentiles 10, 50 y 90 de la depreciación durante el período cubierto. Así se obtienen un escenario favorable para el peso, uno central y uno con más riesgo de depreciación, que parten del mismo nivel y difieren en lo que ocurre durante la cobertura. Se hizo para innovaciones normales y t de Student, y se agregó el camino mediano del escenario base dela primera parte.</w:t>
      </w:r>
    </w:p>
    <w:p w14:paraId="74410813" w14:textId="77777777" w:rsidR="00D20524" w:rsidRDefault="00000000">
      <w:pPr>
        <w:pStyle w:val="Rtulotablaofigura"/>
      </w:pPr>
      <w:r>
        <w:rPr>
          <w:b/>
          <w:bCs/>
        </w:rPr>
        <w:t>Tabla 16</w:t>
      </w:r>
    </w:p>
    <w:p w14:paraId="7DDFC752" w14:textId="77777777" w:rsidR="00D20524" w:rsidRDefault="00000000">
      <w:pPr>
        <w:pStyle w:val="Ttulotablaofigura"/>
      </w:pPr>
      <w:r>
        <w:t>Costo del crédito con y sin cobertura por escenario</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160"/>
        <w:gridCol w:w="1400"/>
        <w:gridCol w:w="1450"/>
        <w:gridCol w:w="1450"/>
        <w:gridCol w:w="1400"/>
        <w:gridCol w:w="1500"/>
      </w:tblGrid>
      <w:tr w:rsidR="009D2FD2" w14:paraId="1D4D9759" w14:textId="77777777">
        <w:trPr>
          <w:tblHeader/>
        </w:trPr>
        <w:tc>
          <w:tcPr>
            <w:tcW w:w="21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CEE8FE6" w14:textId="77777777" w:rsidR="009D2FD2" w:rsidRDefault="00000000">
            <w:pPr>
              <w:pStyle w:val="Tablacelda"/>
            </w:pPr>
            <w:r>
              <w:rPr>
                <w:b/>
                <w:bCs/>
              </w:rPr>
              <w:t>Escenario</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7132ED1" w14:textId="77777777" w:rsidR="009D2FD2" w:rsidRDefault="00000000">
            <w:pPr>
              <w:pStyle w:val="Tablacelda"/>
              <w:jc w:val="right"/>
            </w:pPr>
            <w:r>
              <w:rPr>
                <w:b/>
                <w:bCs/>
              </w:rPr>
              <w:t>Depreciación años 7-10</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5F7CD9B" w14:textId="77777777" w:rsidR="009D2FD2" w:rsidRDefault="00000000">
            <w:pPr>
              <w:pStyle w:val="Tablacelda"/>
              <w:jc w:val="right"/>
            </w:pPr>
            <w:r>
              <w:rPr>
                <w:b/>
                <w:bCs/>
              </w:rPr>
              <w:t>Costo total sin cobertura</w:t>
            </w:r>
          </w:p>
        </w:tc>
        <w:tc>
          <w:tcPr>
            <w:tcW w:w="145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3E97B0AA" w14:textId="77777777" w:rsidR="009D2FD2" w:rsidRDefault="00000000">
            <w:pPr>
              <w:pStyle w:val="Tablacelda"/>
              <w:jc w:val="right"/>
            </w:pPr>
            <w:r>
              <w:rPr>
                <w:b/>
                <w:bCs/>
              </w:rPr>
              <w:t>Costo total con cobertura</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C613F40" w14:textId="77777777" w:rsidR="009D2FD2" w:rsidRDefault="00000000">
            <w:pPr>
              <w:pStyle w:val="Tablacelda"/>
              <w:jc w:val="right"/>
            </w:pPr>
            <w:r>
              <w:rPr>
                <w:b/>
                <w:bCs/>
              </w:rPr>
              <w:t>Resultado de los forwards</w:t>
            </w:r>
          </w:p>
        </w:tc>
        <w:tc>
          <w:tcPr>
            <w:tcW w:w="15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9C45DC2" w14:textId="77777777" w:rsidR="009D2FD2" w:rsidRDefault="00000000">
            <w:pPr>
              <w:pStyle w:val="Tablacelda"/>
              <w:jc w:val="right"/>
            </w:pPr>
            <w:r>
              <w:rPr>
                <w:b/>
                <w:bCs/>
              </w:rPr>
              <w:t>Costo efectivo anual sin / con</w:t>
            </w:r>
          </w:p>
        </w:tc>
      </w:tr>
      <w:tr w:rsidR="009D2FD2" w14:paraId="1545DAD0" w14:textId="77777777">
        <w:tc>
          <w:tcPr>
            <w:tcW w:w="2160" w:type="dxa"/>
            <w:tcBorders>
              <w:top w:val="nil"/>
              <w:left w:val="nil"/>
              <w:bottom w:val="nil"/>
              <w:right w:val="nil"/>
            </w:tcBorders>
            <w:tcMar>
              <w:top w:w="60" w:type="dxa"/>
              <w:left w:w="100" w:type="dxa"/>
              <w:bottom w:w="60" w:type="dxa"/>
              <w:right w:w="100" w:type="dxa"/>
            </w:tcMar>
          </w:tcPr>
          <w:p w14:paraId="44B3E9D4" w14:textId="77777777" w:rsidR="009D2FD2" w:rsidRDefault="002A3EA9">
            <w:pPr>
              <w:pStyle w:val="Tablacelda"/>
            </w:pPr>
            <w:r>
              <w:t>Peso fuerte – normal</w:t>
            </w:r>
          </w:p>
        </w:tc>
        <w:tc>
          <w:tcPr>
            <w:tcW w:w="1400" w:type="dxa"/>
            <w:tcBorders>
              <w:top w:val="nil"/>
              <w:left w:val="nil"/>
              <w:bottom w:val="nil"/>
              <w:right w:val="nil"/>
            </w:tcBorders>
            <w:tcMar>
              <w:top w:w="60" w:type="dxa"/>
              <w:left w:w="100" w:type="dxa"/>
              <w:bottom w:w="60" w:type="dxa"/>
              <w:right w:w="100" w:type="dxa"/>
            </w:tcMar>
          </w:tcPr>
          <w:p w14:paraId="451E4235" w14:textId="77777777" w:rsidR="009D2FD2" w:rsidRDefault="00000000">
            <w:pPr>
              <w:pStyle w:val="Tablacelda"/>
              <w:jc w:val="right"/>
            </w:pPr>
            <w:r>
              <w:t>−23,8 %</w:t>
            </w:r>
          </w:p>
        </w:tc>
        <w:tc>
          <w:tcPr>
            <w:tcW w:w="1450" w:type="dxa"/>
            <w:tcBorders>
              <w:top w:val="nil"/>
              <w:left w:val="nil"/>
              <w:bottom w:val="nil"/>
              <w:right w:val="nil"/>
            </w:tcBorders>
            <w:tcMar>
              <w:top w:w="60" w:type="dxa"/>
              <w:left w:w="100" w:type="dxa"/>
              <w:bottom w:w="60" w:type="dxa"/>
              <w:right w:w="100" w:type="dxa"/>
            </w:tcMar>
          </w:tcPr>
          <w:p w14:paraId="34DEBD14" w14:textId="77777777" w:rsidR="009D2FD2" w:rsidRDefault="00000000">
            <w:pPr>
              <w:pStyle w:val="Tablacelda"/>
              <w:jc w:val="right"/>
            </w:pPr>
            <w:r>
              <w:t>694,8</w:t>
            </w:r>
          </w:p>
        </w:tc>
        <w:tc>
          <w:tcPr>
            <w:tcW w:w="1450" w:type="dxa"/>
            <w:tcBorders>
              <w:top w:val="nil"/>
              <w:left w:val="nil"/>
              <w:bottom w:val="nil"/>
              <w:right w:val="nil"/>
            </w:tcBorders>
            <w:tcMar>
              <w:top w:w="60" w:type="dxa"/>
              <w:left w:w="100" w:type="dxa"/>
              <w:bottom w:w="60" w:type="dxa"/>
              <w:right w:w="100" w:type="dxa"/>
            </w:tcMar>
          </w:tcPr>
          <w:p w14:paraId="6008693A" w14:textId="77777777" w:rsidR="009D2FD2" w:rsidRDefault="00000000">
            <w:pPr>
              <w:pStyle w:val="Tablacelda"/>
              <w:jc w:val="right"/>
            </w:pPr>
            <w:r>
              <w:t>725,1</w:t>
            </w:r>
          </w:p>
        </w:tc>
        <w:tc>
          <w:tcPr>
            <w:tcW w:w="1400" w:type="dxa"/>
            <w:tcBorders>
              <w:top w:val="nil"/>
              <w:left w:val="nil"/>
              <w:bottom w:val="nil"/>
              <w:right w:val="nil"/>
            </w:tcBorders>
            <w:tcMar>
              <w:top w:w="60" w:type="dxa"/>
              <w:left w:w="100" w:type="dxa"/>
              <w:bottom w:w="60" w:type="dxa"/>
              <w:right w:w="100" w:type="dxa"/>
            </w:tcMar>
          </w:tcPr>
          <w:p w14:paraId="3DB9C26B" w14:textId="77777777" w:rsidR="009D2FD2" w:rsidRDefault="00000000">
            <w:pPr>
              <w:pStyle w:val="Tablacelda"/>
              <w:jc w:val="right"/>
            </w:pPr>
            <w:r>
              <w:t>−30,3</w:t>
            </w:r>
          </w:p>
        </w:tc>
        <w:tc>
          <w:tcPr>
            <w:tcW w:w="1500" w:type="dxa"/>
            <w:tcBorders>
              <w:top w:val="nil"/>
              <w:left w:val="nil"/>
              <w:bottom w:val="nil"/>
              <w:right w:val="nil"/>
            </w:tcBorders>
            <w:tcMar>
              <w:top w:w="60" w:type="dxa"/>
              <w:left w:w="100" w:type="dxa"/>
              <w:bottom w:w="60" w:type="dxa"/>
              <w:right w:w="100" w:type="dxa"/>
            </w:tcMar>
          </w:tcPr>
          <w:p w14:paraId="1A644F60" w14:textId="77777777" w:rsidR="009D2FD2" w:rsidRDefault="00000000">
            <w:pPr>
              <w:pStyle w:val="Tablacelda"/>
              <w:jc w:val="right"/>
            </w:pPr>
            <w:r>
              <w:t>15,6 % / 16,3 %</w:t>
            </w:r>
          </w:p>
        </w:tc>
      </w:tr>
      <w:tr w:rsidR="009D2FD2" w14:paraId="0A10DAE0" w14:textId="77777777">
        <w:tc>
          <w:tcPr>
            <w:tcW w:w="2160" w:type="dxa"/>
            <w:tcBorders>
              <w:top w:val="nil"/>
              <w:left w:val="nil"/>
              <w:bottom w:val="nil"/>
              <w:right w:val="nil"/>
            </w:tcBorders>
            <w:tcMar>
              <w:top w:w="60" w:type="dxa"/>
              <w:left w:w="100" w:type="dxa"/>
              <w:bottom w:w="60" w:type="dxa"/>
              <w:right w:w="100" w:type="dxa"/>
            </w:tcMar>
          </w:tcPr>
          <w:p w14:paraId="33E8153C" w14:textId="77777777" w:rsidR="009D2FD2" w:rsidRDefault="00000000">
            <w:pPr>
              <w:pStyle w:val="Tablacelda"/>
            </w:pPr>
            <w:r>
              <w:t>Central – normal</w:t>
            </w:r>
          </w:p>
        </w:tc>
        <w:tc>
          <w:tcPr>
            <w:tcW w:w="1400" w:type="dxa"/>
            <w:tcBorders>
              <w:top w:val="nil"/>
              <w:left w:val="nil"/>
              <w:bottom w:val="nil"/>
              <w:right w:val="nil"/>
            </w:tcBorders>
            <w:tcMar>
              <w:top w:w="60" w:type="dxa"/>
              <w:left w:w="100" w:type="dxa"/>
              <w:bottom w:w="60" w:type="dxa"/>
              <w:right w:w="100" w:type="dxa"/>
            </w:tcMar>
          </w:tcPr>
          <w:p w14:paraId="6983770F" w14:textId="77777777" w:rsidR="009D2FD2" w:rsidRDefault="00000000">
            <w:pPr>
              <w:pStyle w:val="Tablacelda"/>
              <w:jc w:val="right"/>
            </w:pPr>
            <w:r>
              <w:t>+8,1 %</w:t>
            </w:r>
          </w:p>
        </w:tc>
        <w:tc>
          <w:tcPr>
            <w:tcW w:w="1450" w:type="dxa"/>
            <w:tcBorders>
              <w:top w:val="nil"/>
              <w:left w:val="nil"/>
              <w:bottom w:val="nil"/>
              <w:right w:val="nil"/>
            </w:tcBorders>
            <w:tcMar>
              <w:top w:w="60" w:type="dxa"/>
              <w:left w:w="100" w:type="dxa"/>
              <w:bottom w:w="60" w:type="dxa"/>
              <w:right w:w="100" w:type="dxa"/>
            </w:tcMar>
          </w:tcPr>
          <w:p w14:paraId="737B799A" w14:textId="77777777" w:rsidR="009D2FD2" w:rsidRDefault="00000000">
            <w:pPr>
              <w:pStyle w:val="Tablacelda"/>
              <w:jc w:val="right"/>
            </w:pPr>
            <w:r>
              <w:t>739,7</w:t>
            </w:r>
          </w:p>
        </w:tc>
        <w:tc>
          <w:tcPr>
            <w:tcW w:w="1450" w:type="dxa"/>
            <w:tcBorders>
              <w:top w:val="nil"/>
              <w:left w:val="nil"/>
              <w:bottom w:val="nil"/>
              <w:right w:val="nil"/>
            </w:tcBorders>
            <w:tcMar>
              <w:top w:w="60" w:type="dxa"/>
              <w:left w:w="100" w:type="dxa"/>
              <w:bottom w:w="60" w:type="dxa"/>
              <w:right w:w="100" w:type="dxa"/>
            </w:tcMar>
          </w:tcPr>
          <w:p w14:paraId="62F4EC26" w14:textId="77777777" w:rsidR="009D2FD2" w:rsidRDefault="00000000">
            <w:pPr>
              <w:pStyle w:val="Tablacelda"/>
              <w:jc w:val="right"/>
            </w:pPr>
            <w:r>
              <w:t>752,9</w:t>
            </w:r>
          </w:p>
        </w:tc>
        <w:tc>
          <w:tcPr>
            <w:tcW w:w="1400" w:type="dxa"/>
            <w:tcBorders>
              <w:top w:val="nil"/>
              <w:left w:val="nil"/>
              <w:bottom w:val="nil"/>
              <w:right w:val="nil"/>
            </w:tcBorders>
            <w:tcMar>
              <w:top w:w="60" w:type="dxa"/>
              <w:left w:w="100" w:type="dxa"/>
              <w:bottom w:w="60" w:type="dxa"/>
              <w:right w:w="100" w:type="dxa"/>
            </w:tcMar>
          </w:tcPr>
          <w:p w14:paraId="69145A86" w14:textId="77777777" w:rsidR="009D2FD2" w:rsidRDefault="00000000">
            <w:pPr>
              <w:pStyle w:val="Tablacelda"/>
              <w:jc w:val="right"/>
            </w:pPr>
            <w:r>
              <w:t>−13,2</w:t>
            </w:r>
          </w:p>
        </w:tc>
        <w:tc>
          <w:tcPr>
            <w:tcW w:w="1500" w:type="dxa"/>
            <w:tcBorders>
              <w:top w:val="nil"/>
              <w:left w:val="nil"/>
              <w:bottom w:val="nil"/>
              <w:right w:val="nil"/>
            </w:tcBorders>
            <w:tcMar>
              <w:top w:w="60" w:type="dxa"/>
              <w:left w:w="100" w:type="dxa"/>
              <w:bottom w:w="60" w:type="dxa"/>
              <w:right w:w="100" w:type="dxa"/>
            </w:tcMar>
          </w:tcPr>
          <w:p w14:paraId="4CE1B606" w14:textId="77777777" w:rsidR="009D2FD2" w:rsidRDefault="00000000">
            <w:pPr>
              <w:pStyle w:val="Tablacelda"/>
              <w:jc w:val="right"/>
            </w:pPr>
            <w:r>
              <w:t>17,4 % / 17,7 %</w:t>
            </w:r>
          </w:p>
        </w:tc>
      </w:tr>
      <w:tr w:rsidR="009D2FD2" w14:paraId="60C3900B" w14:textId="77777777">
        <w:tc>
          <w:tcPr>
            <w:tcW w:w="2160" w:type="dxa"/>
            <w:tcBorders>
              <w:top w:val="nil"/>
              <w:left w:val="nil"/>
              <w:bottom w:val="nil"/>
              <w:right w:val="nil"/>
            </w:tcBorders>
            <w:tcMar>
              <w:top w:w="60" w:type="dxa"/>
              <w:left w:w="100" w:type="dxa"/>
              <w:bottom w:w="60" w:type="dxa"/>
              <w:right w:w="100" w:type="dxa"/>
            </w:tcMar>
          </w:tcPr>
          <w:p w14:paraId="43A97CEC" w14:textId="77777777" w:rsidR="009D2FD2" w:rsidRDefault="002A3EA9">
            <w:pPr>
              <w:pStyle w:val="Tablacelda"/>
            </w:pPr>
            <w:r>
              <w:t>Peso débil – normal</w:t>
            </w:r>
          </w:p>
        </w:tc>
        <w:tc>
          <w:tcPr>
            <w:tcW w:w="1400" w:type="dxa"/>
            <w:tcBorders>
              <w:top w:val="nil"/>
              <w:left w:val="nil"/>
              <w:bottom w:val="nil"/>
              <w:right w:val="nil"/>
            </w:tcBorders>
            <w:tcMar>
              <w:top w:w="60" w:type="dxa"/>
              <w:left w:w="100" w:type="dxa"/>
              <w:bottom w:w="60" w:type="dxa"/>
              <w:right w:w="100" w:type="dxa"/>
            </w:tcMar>
          </w:tcPr>
          <w:p w14:paraId="582A3064" w14:textId="77777777" w:rsidR="009D2FD2" w:rsidRDefault="00000000">
            <w:pPr>
              <w:pStyle w:val="Tablacelda"/>
              <w:jc w:val="right"/>
            </w:pPr>
            <w:r>
              <w:t>+50,7 %</w:t>
            </w:r>
          </w:p>
        </w:tc>
        <w:tc>
          <w:tcPr>
            <w:tcW w:w="1450" w:type="dxa"/>
            <w:tcBorders>
              <w:top w:val="nil"/>
              <w:left w:val="nil"/>
              <w:bottom w:val="nil"/>
              <w:right w:val="nil"/>
            </w:tcBorders>
            <w:tcMar>
              <w:top w:w="60" w:type="dxa"/>
              <w:left w:w="100" w:type="dxa"/>
              <w:bottom w:w="60" w:type="dxa"/>
              <w:right w:w="100" w:type="dxa"/>
            </w:tcMar>
          </w:tcPr>
          <w:p w14:paraId="658F512E" w14:textId="77777777" w:rsidR="009D2FD2" w:rsidRDefault="00000000">
            <w:pPr>
              <w:pStyle w:val="Tablacelda"/>
              <w:jc w:val="right"/>
            </w:pPr>
            <w:r>
              <w:t>829,9</w:t>
            </w:r>
          </w:p>
        </w:tc>
        <w:tc>
          <w:tcPr>
            <w:tcW w:w="1450" w:type="dxa"/>
            <w:tcBorders>
              <w:top w:val="nil"/>
              <w:left w:val="nil"/>
              <w:bottom w:val="nil"/>
              <w:right w:val="nil"/>
            </w:tcBorders>
            <w:tcMar>
              <w:top w:w="60" w:type="dxa"/>
              <w:left w:w="100" w:type="dxa"/>
              <w:bottom w:w="60" w:type="dxa"/>
              <w:right w:w="100" w:type="dxa"/>
            </w:tcMar>
          </w:tcPr>
          <w:p w14:paraId="462A3E48" w14:textId="77777777" w:rsidR="009D2FD2" w:rsidRDefault="00000000">
            <w:pPr>
              <w:pStyle w:val="Tablacelda"/>
              <w:jc w:val="right"/>
            </w:pPr>
            <w:r>
              <w:t>823,9</w:t>
            </w:r>
          </w:p>
        </w:tc>
        <w:tc>
          <w:tcPr>
            <w:tcW w:w="1400" w:type="dxa"/>
            <w:tcBorders>
              <w:top w:val="nil"/>
              <w:left w:val="nil"/>
              <w:bottom w:val="nil"/>
              <w:right w:val="nil"/>
            </w:tcBorders>
            <w:tcMar>
              <w:top w:w="60" w:type="dxa"/>
              <w:left w:w="100" w:type="dxa"/>
              <w:bottom w:w="60" w:type="dxa"/>
              <w:right w:w="100" w:type="dxa"/>
            </w:tcMar>
          </w:tcPr>
          <w:p w14:paraId="5DA43190" w14:textId="77777777" w:rsidR="009D2FD2" w:rsidRDefault="00000000">
            <w:pPr>
              <w:pStyle w:val="Tablacelda"/>
              <w:jc w:val="right"/>
            </w:pPr>
            <w:r>
              <w:t>+6,0</w:t>
            </w:r>
          </w:p>
        </w:tc>
        <w:tc>
          <w:tcPr>
            <w:tcW w:w="1500" w:type="dxa"/>
            <w:tcBorders>
              <w:top w:val="nil"/>
              <w:left w:val="nil"/>
              <w:bottom w:val="nil"/>
              <w:right w:val="nil"/>
            </w:tcBorders>
            <w:tcMar>
              <w:top w:w="60" w:type="dxa"/>
              <w:left w:w="100" w:type="dxa"/>
              <w:bottom w:w="60" w:type="dxa"/>
              <w:right w:w="100" w:type="dxa"/>
            </w:tcMar>
          </w:tcPr>
          <w:p w14:paraId="7F0E403E" w14:textId="77777777" w:rsidR="009D2FD2" w:rsidRDefault="00000000">
            <w:pPr>
              <w:pStyle w:val="Tablacelda"/>
              <w:jc w:val="right"/>
            </w:pPr>
            <w:r>
              <w:t>19,0 % / 18,8 %</w:t>
            </w:r>
          </w:p>
        </w:tc>
      </w:tr>
      <w:tr w:rsidR="009D2FD2" w14:paraId="104C6A84" w14:textId="77777777">
        <w:tc>
          <w:tcPr>
            <w:tcW w:w="2160" w:type="dxa"/>
            <w:tcBorders>
              <w:top w:val="nil"/>
              <w:left w:val="nil"/>
              <w:bottom w:val="nil"/>
              <w:right w:val="nil"/>
            </w:tcBorders>
            <w:tcMar>
              <w:top w:w="60" w:type="dxa"/>
              <w:left w:w="100" w:type="dxa"/>
              <w:bottom w:w="60" w:type="dxa"/>
              <w:right w:w="100" w:type="dxa"/>
            </w:tcMar>
          </w:tcPr>
          <w:p w14:paraId="4979EA36" w14:textId="77777777" w:rsidR="009D2FD2" w:rsidRDefault="002A3EA9">
            <w:pPr>
              <w:pStyle w:val="Tablacelda"/>
            </w:pPr>
            <w:r>
              <w:t>Peso fuerte – t</w:t>
            </w:r>
          </w:p>
        </w:tc>
        <w:tc>
          <w:tcPr>
            <w:tcW w:w="1400" w:type="dxa"/>
            <w:tcBorders>
              <w:top w:val="nil"/>
              <w:left w:val="nil"/>
              <w:bottom w:val="nil"/>
              <w:right w:val="nil"/>
            </w:tcBorders>
            <w:tcMar>
              <w:top w:w="60" w:type="dxa"/>
              <w:left w:w="100" w:type="dxa"/>
              <w:bottom w:w="60" w:type="dxa"/>
              <w:right w:w="100" w:type="dxa"/>
            </w:tcMar>
          </w:tcPr>
          <w:p w14:paraId="651AE8E4" w14:textId="77777777" w:rsidR="009D2FD2" w:rsidRDefault="00000000">
            <w:pPr>
              <w:pStyle w:val="Tablacelda"/>
              <w:jc w:val="right"/>
            </w:pPr>
            <w:r>
              <w:t>−23,7 %</w:t>
            </w:r>
          </w:p>
        </w:tc>
        <w:tc>
          <w:tcPr>
            <w:tcW w:w="1450" w:type="dxa"/>
            <w:tcBorders>
              <w:top w:val="nil"/>
              <w:left w:val="nil"/>
              <w:bottom w:val="nil"/>
              <w:right w:val="nil"/>
            </w:tcBorders>
            <w:tcMar>
              <w:top w:w="60" w:type="dxa"/>
              <w:left w:w="100" w:type="dxa"/>
              <w:bottom w:w="60" w:type="dxa"/>
              <w:right w:w="100" w:type="dxa"/>
            </w:tcMar>
          </w:tcPr>
          <w:p w14:paraId="54655369" w14:textId="77777777" w:rsidR="009D2FD2" w:rsidRDefault="00000000">
            <w:pPr>
              <w:pStyle w:val="Tablacelda"/>
              <w:jc w:val="right"/>
            </w:pPr>
            <w:r>
              <w:t>684,8</w:t>
            </w:r>
          </w:p>
        </w:tc>
        <w:tc>
          <w:tcPr>
            <w:tcW w:w="1450" w:type="dxa"/>
            <w:tcBorders>
              <w:top w:val="nil"/>
              <w:left w:val="nil"/>
              <w:bottom w:val="nil"/>
              <w:right w:val="nil"/>
            </w:tcBorders>
            <w:tcMar>
              <w:top w:w="60" w:type="dxa"/>
              <w:left w:w="100" w:type="dxa"/>
              <w:bottom w:w="60" w:type="dxa"/>
              <w:right w:w="100" w:type="dxa"/>
            </w:tcMar>
          </w:tcPr>
          <w:p w14:paraId="4E3DC227" w14:textId="77777777" w:rsidR="009D2FD2" w:rsidRDefault="00000000">
            <w:pPr>
              <w:pStyle w:val="Tablacelda"/>
              <w:jc w:val="right"/>
            </w:pPr>
            <w:r>
              <w:t>714,0</w:t>
            </w:r>
          </w:p>
        </w:tc>
        <w:tc>
          <w:tcPr>
            <w:tcW w:w="1400" w:type="dxa"/>
            <w:tcBorders>
              <w:top w:val="nil"/>
              <w:left w:val="nil"/>
              <w:bottom w:val="nil"/>
              <w:right w:val="nil"/>
            </w:tcBorders>
            <w:tcMar>
              <w:top w:w="60" w:type="dxa"/>
              <w:left w:w="100" w:type="dxa"/>
              <w:bottom w:w="60" w:type="dxa"/>
              <w:right w:w="100" w:type="dxa"/>
            </w:tcMar>
          </w:tcPr>
          <w:p w14:paraId="324E384C" w14:textId="77777777" w:rsidR="009D2FD2" w:rsidRDefault="00000000">
            <w:pPr>
              <w:pStyle w:val="Tablacelda"/>
              <w:jc w:val="right"/>
            </w:pPr>
            <w:r>
              <w:t>−29,3</w:t>
            </w:r>
          </w:p>
        </w:tc>
        <w:tc>
          <w:tcPr>
            <w:tcW w:w="1500" w:type="dxa"/>
            <w:tcBorders>
              <w:top w:val="nil"/>
              <w:left w:val="nil"/>
              <w:bottom w:val="nil"/>
              <w:right w:val="nil"/>
            </w:tcBorders>
            <w:tcMar>
              <w:top w:w="60" w:type="dxa"/>
              <w:left w:w="100" w:type="dxa"/>
              <w:bottom w:w="60" w:type="dxa"/>
              <w:right w:w="100" w:type="dxa"/>
            </w:tcMar>
          </w:tcPr>
          <w:p w14:paraId="7DD2852F" w14:textId="77777777" w:rsidR="009D2FD2" w:rsidRDefault="00000000">
            <w:pPr>
              <w:pStyle w:val="Tablacelda"/>
              <w:jc w:val="right"/>
            </w:pPr>
            <w:r>
              <w:t>15,2 % / 15,9 %</w:t>
            </w:r>
          </w:p>
        </w:tc>
      </w:tr>
      <w:tr w:rsidR="009D2FD2" w14:paraId="73E79FA4" w14:textId="77777777">
        <w:tc>
          <w:tcPr>
            <w:tcW w:w="2160" w:type="dxa"/>
            <w:tcBorders>
              <w:top w:val="nil"/>
              <w:left w:val="nil"/>
              <w:bottom w:val="nil"/>
              <w:right w:val="nil"/>
            </w:tcBorders>
            <w:tcMar>
              <w:top w:w="60" w:type="dxa"/>
              <w:left w:w="100" w:type="dxa"/>
              <w:bottom w:w="60" w:type="dxa"/>
              <w:right w:w="100" w:type="dxa"/>
            </w:tcMar>
          </w:tcPr>
          <w:p w14:paraId="5E9F08F7" w14:textId="77777777" w:rsidR="009D2FD2" w:rsidRDefault="00000000">
            <w:pPr>
              <w:pStyle w:val="Tablacelda"/>
            </w:pPr>
            <w:r>
              <w:t>Central – t</w:t>
            </w:r>
          </w:p>
        </w:tc>
        <w:tc>
          <w:tcPr>
            <w:tcW w:w="1400" w:type="dxa"/>
            <w:tcBorders>
              <w:top w:val="nil"/>
              <w:left w:val="nil"/>
              <w:bottom w:val="nil"/>
              <w:right w:val="nil"/>
            </w:tcBorders>
            <w:tcMar>
              <w:top w:w="60" w:type="dxa"/>
              <w:left w:w="100" w:type="dxa"/>
              <w:bottom w:w="60" w:type="dxa"/>
              <w:right w:w="100" w:type="dxa"/>
            </w:tcMar>
          </w:tcPr>
          <w:p w14:paraId="1627E2B8" w14:textId="77777777" w:rsidR="009D2FD2" w:rsidRDefault="00000000">
            <w:pPr>
              <w:pStyle w:val="Tablacelda"/>
              <w:jc w:val="right"/>
            </w:pPr>
            <w:r>
              <w:t>+9,4 %</w:t>
            </w:r>
          </w:p>
        </w:tc>
        <w:tc>
          <w:tcPr>
            <w:tcW w:w="1450" w:type="dxa"/>
            <w:tcBorders>
              <w:top w:val="nil"/>
              <w:left w:val="nil"/>
              <w:bottom w:val="nil"/>
              <w:right w:val="nil"/>
            </w:tcBorders>
            <w:tcMar>
              <w:top w:w="60" w:type="dxa"/>
              <w:left w:w="100" w:type="dxa"/>
              <w:bottom w:w="60" w:type="dxa"/>
              <w:right w:w="100" w:type="dxa"/>
            </w:tcMar>
          </w:tcPr>
          <w:p w14:paraId="13317168" w14:textId="77777777" w:rsidR="009D2FD2" w:rsidRDefault="00000000">
            <w:pPr>
              <w:pStyle w:val="Tablacelda"/>
              <w:jc w:val="right"/>
            </w:pPr>
            <w:r>
              <w:t>790,1</w:t>
            </w:r>
          </w:p>
        </w:tc>
        <w:tc>
          <w:tcPr>
            <w:tcW w:w="1450" w:type="dxa"/>
            <w:tcBorders>
              <w:top w:val="nil"/>
              <w:left w:val="nil"/>
              <w:bottom w:val="nil"/>
              <w:right w:val="nil"/>
            </w:tcBorders>
            <w:tcMar>
              <w:top w:w="60" w:type="dxa"/>
              <w:left w:w="100" w:type="dxa"/>
              <w:bottom w:w="60" w:type="dxa"/>
              <w:right w:w="100" w:type="dxa"/>
            </w:tcMar>
          </w:tcPr>
          <w:p w14:paraId="6AD85DF9" w14:textId="77777777" w:rsidR="009D2FD2" w:rsidRDefault="00000000">
            <w:pPr>
              <w:pStyle w:val="Tablacelda"/>
              <w:jc w:val="right"/>
            </w:pPr>
            <w:r>
              <w:t>806,6</w:t>
            </w:r>
          </w:p>
        </w:tc>
        <w:tc>
          <w:tcPr>
            <w:tcW w:w="1400" w:type="dxa"/>
            <w:tcBorders>
              <w:top w:val="nil"/>
              <w:left w:val="nil"/>
              <w:bottom w:val="nil"/>
              <w:right w:val="nil"/>
            </w:tcBorders>
            <w:tcMar>
              <w:top w:w="60" w:type="dxa"/>
              <w:left w:w="100" w:type="dxa"/>
              <w:bottom w:w="60" w:type="dxa"/>
              <w:right w:w="100" w:type="dxa"/>
            </w:tcMar>
          </w:tcPr>
          <w:p w14:paraId="099A0655" w14:textId="77777777" w:rsidR="009D2FD2" w:rsidRDefault="00000000">
            <w:pPr>
              <w:pStyle w:val="Tablacelda"/>
              <w:jc w:val="right"/>
            </w:pPr>
            <w:r>
              <w:t>−16,4</w:t>
            </w:r>
          </w:p>
        </w:tc>
        <w:tc>
          <w:tcPr>
            <w:tcW w:w="1500" w:type="dxa"/>
            <w:tcBorders>
              <w:top w:val="nil"/>
              <w:left w:val="nil"/>
              <w:bottom w:val="nil"/>
              <w:right w:val="nil"/>
            </w:tcBorders>
            <w:tcMar>
              <w:top w:w="60" w:type="dxa"/>
              <w:left w:w="100" w:type="dxa"/>
              <w:bottom w:w="60" w:type="dxa"/>
              <w:right w:w="100" w:type="dxa"/>
            </w:tcMar>
          </w:tcPr>
          <w:p w14:paraId="74F19B81" w14:textId="77777777" w:rsidR="009D2FD2" w:rsidRDefault="00000000">
            <w:pPr>
              <w:pStyle w:val="Tablacelda"/>
              <w:jc w:val="right"/>
            </w:pPr>
            <w:r>
              <w:t>17,7 % / 17,9 %</w:t>
            </w:r>
          </w:p>
        </w:tc>
      </w:tr>
      <w:tr w:rsidR="009D2FD2" w14:paraId="14DB4A52" w14:textId="77777777">
        <w:tc>
          <w:tcPr>
            <w:tcW w:w="2160" w:type="dxa"/>
            <w:tcBorders>
              <w:top w:val="nil"/>
              <w:left w:val="nil"/>
              <w:bottom w:val="nil"/>
              <w:right w:val="nil"/>
            </w:tcBorders>
            <w:tcMar>
              <w:top w:w="60" w:type="dxa"/>
              <w:left w:w="100" w:type="dxa"/>
              <w:bottom w:w="60" w:type="dxa"/>
              <w:right w:w="100" w:type="dxa"/>
            </w:tcMar>
          </w:tcPr>
          <w:p w14:paraId="17E4597B" w14:textId="77777777" w:rsidR="009D2FD2" w:rsidRDefault="002A3EA9">
            <w:pPr>
              <w:pStyle w:val="Tablacelda"/>
            </w:pPr>
            <w:r>
              <w:t>Peso débil – t</w:t>
            </w:r>
          </w:p>
        </w:tc>
        <w:tc>
          <w:tcPr>
            <w:tcW w:w="1400" w:type="dxa"/>
            <w:tcBorders>
              <w:top w:val="nil"/>
              <w:left w:val="nil"/>
              <w:bottom w:val="nil"/>
              <w:right w:val="nil"/>
            </w:tcBorders>
            <w:tcMar>
              <w:top w:w="60" w:type="dxa"/>
              <w:left w:w="100" w:type="dxa"/>
              <w:bottom w:w="60" w:type="dxa"/>
              <w:right w:w="100" w:type="dxa"/>
            </w:tcMar>
          </w:tcPr>
          <w:p w14:paraId="2E4983C0" w14:textId="77777777" w:rsidR="009D2FD2" w:rsidRDefault="00000000">
            <w:pPr>
              <w:pStyle w:val="Tablacelda"/>
              <w:jc w:val="right"/>
            </w:pPr>
            <w:r>
              <w:t>+53,3 %</w:t>
            </w:r>
          </w:p>
        </w:tc>
        <w:tc>
          <w:tcPr>
            <w:tcW w:w="1450" w:type="dxa"/>
            <w:tcBorders>
              <w:top w:val="nil"/>
              <w:left w:val="nil"/>
              <w:bottom w:val="nil"/>
              <w:right w:val="nil"/>
            </w:tcBorders>
            <w:tcMar>
              <w:top w:w="60" w:type="dxa"/>
              <w:left w:w="100" w:type="dxa"/>
              <w:bottom w:w="60" w:type="dxa"/>
              <w:right w:w="100" w:type="dxa"/>
            </w:tcMar>
          </w:tcPr>
          <w:p w14:paraId="55501BD7" w14:textId="77777777" w:rsidR="009D2FD2" w:rsidRDefault="00000000">
            <w:pPr>
              <w:pStyle w:val="Tablacelda"/>
              <w:jc w:val="right"/>
            </w:pPr>
            <w:r>
              <w:t>824,1</w:t>
            </w:r>
          </w:p>
        </w:tc>
        <w:tc>
          <w:tcPr>
            <w:tcW w:w="1450" w:type="dxa"/>
            <w:tcBorders>
              <w:top w:val="nil"/>
              <w:left w:val="nil"/>
              <w:bottom w:val="nil"/>
              <w:right w:val="nil"/>
            </w:tcBorders>
            <w:tcMar>
              <w:top w:w="60" w:type="dxa"/>
              <w:left w:w="100" w:type="dxa"/>
              <w:bottom w:w="60" w:type="dxa"/>
              <w:right w:w="100" w:type="dxa"/>
            </w:tcMar>
          </w:tcPr>
          <w:p w14:paraId="7D48DEB1" w14:textId="77777777" w:rsidR="009D2FD2" w:rsidRDefault="00000000">
            <w:pPr>
              <w:pStyle w:val="Tablacelda"/>
              <w:jc w:val="right"/>
            </w:pPr>
            <w:r>
              <w:t>816,8</w:t>
            </w:r>
          </w:p>
        </w:tc>
        <w:tc>
          <w:tcPr>
            <w:tcW w:w="1400" w:type="dxa"/>
            <w:tcBorders>
              <w:top w:val="nil"/>
              <w:left w:val="nil"/>
              <w:bottom w:val="nil"/>
              <w:right w:val="nil"/>
            </w:tcBorders>
            <w:tcMar>
              <w:top w:w="60" w:type="dxa"/>
              <w:left w:w="100" w:type="dxa"/>
              <w:bottom w:w="60" w:type="dxa"/>
              <w:right w:w="100" w:type="dxa"/>
            </w:tcMar>
          </w:tcPr>
          <w:p w14:paraId="6F943977" w14:textId="77777777" w:rsidR="009D2FD2" w:rsidRDefault="00000000">
            <w:pPr>
              <w:pStyle w:val="Tablacelda"/>
              <w:jc w:val="right"/>
            </w:pPr>
            <w:r>
              <w:t>+7,2</w:t>
            </w:r>
          </w:p>
        </w:tc>
        <w:tc>
          <w:tcPr>
            <w:tcW w:w="1500" w:type="dxa"/>
            <w:tcBorders>
              <w:top w:val="nil"/>
              <w:left w:val="nil"/>
              <w:bottom w:val="nil"/>
              <w:right w:val="nil"/>
            </w:tcBorders>
            <w:tcMar>
              <w:top w:w="60" w:type="dxa"/>
              <w:left w:w="100" w:type="dxa"/>
              <w:bottom w:w="60" w:type="dxa"/>
              <w:right w:w="100" w:type="dxa"/>
            </w:tcMar>
          </w:tcPr>
          <w:p w14:paraId="246D6C2A" w14:textId="77777777" w:rsidR="009D2FD2" w:rsidRDefault="00000000">
            <w:pPr>
              <w:pStyle w:val="Tablacelda"/>
              <w:jc w:val="right"/>
            </w:pPr>
            <w:r>
              <w:t>18,1 % / 17,9 %</w:t>
            </w:r>
          </w:p>
        </w:tc>
      </w:tr>
      <w:tr w:rsidR="009D2FD2" w14:paraId="1C0EECBA" w14:textId="77777777">
        <w:tc>
          <w:tcPr>
            <w:tcW w:w="2160" w:type="dxa"/>
            <w:tcBorders>
              <w:top w:val="nil"/>
              <w:left w:val="nil"/>
              <w:bottom w:val="single" w:sz="8" w:space="0" w:color="000000"/>
              <w:right w:val="nil"/>
            </w:tcBorders>
            <w:tcMar>
              <w:top w:w="60" w:type="dxa"/>
              <w:left w:w="100" w:type="dxa"/>
              <w:bottom w:w="60" w:type="dxa"/>
              <w:right w:w="100" w:type="dxa"/>
            </w:tcMar>
          </w:tcPr>
          <w:p w14:paraId="3BBEF512" w14:textId="77777777" w:rsidR="009D2FD2" w:rsidRDefault="00000000">
            <w:pPr>
              <w:pStyle w:val="Tablacelda"/>
            </w:pPr>
            <w:r>
              <w:t>Base (mediana)</w:t>
            </w:r>
          </w:p>
        </w:tc>
        <w:tc>
          <w:tcPr>
            <w:tcW w:w="1400" w:type="dxa"/>
            <w:tcBorders>
              <w:top w:val="nil"/>
              <w:left w:val="nil"/>
              <w:bottom w:val="single" w:sz="8" w:space="0" w:color="000000"/>
              <w:right w:val="nil"/>
            </w:tcBorders>
            <w:tcMar>
              <w:top w:w="60" w:type="dxa"/>
              <w:left w:w="100" w:type="dxa"/>
              <w:bottom w:w="60" w:type="dxa"/>
              <w:right w:w="100" w:type="dxa"/>
            </w:tcMar>
          </w:tcPr>
          <w:p w14:paraId="27CC7FBE" w14:textId="77777777" w:rsidR="009D2FD2" w:rsidRDefault="00000000">
            <w:pPr>
              <w:pStyle w:val="Tablacelda"/>
              <w:jc w:val="right"/>
            </w:pPr>
            <w:r>
              <w:t>+7,9 %</w:t>
            </w:r>
          </w:p>
        </w:tc>
        <w:tc>
          <w:tcPr>
            <w:tcW w:w="1450" w:type="dxa"/>
            <w:tcBorders>
              <w:top w:val="nil"/>
              <w:left w:val="nil"/>
              <w:bottom w:val="single" w:sz="8" w:space="0" w:color="000000"/>
              <w:right w:val="nil"/>
            </w:tcBorders>
            <w:tcMar>
              <w:top w:w="60" w:type="dxa"/>
              <w:left w:w="100" w:type="dxa"/>
              <w:bottom w:w="60" w:type="dxa"/>
              <w:right w:w="100" w:type="dxa"/>
            </w:tcMar>
          </w:tcPr>
          <w:p w14:paraId="6B4D6B72" w14:textId="77777777" w:rsidR="009D2FD2" w:rsidRDefault="00000000">
            <w:pPr>
              <w:pStyle w:val="Tablacelda"/>
              <w:jc w:val="right"/>
            </w:pPr>
            <w:r>
              <w:t>745,0</w:t>
            </w:r>
          </w:p>
        </w:tc>
        <w:tc>
          <w:tcPr>
            <w:tcW w:w="1450" w:type="dxa"/>
            <w:tcBorders>
              <w:top w:val="nil"/>
              <w:left w:val="nil"/>
              <w:bottom w:val="single" w:sz="8" w:space="0" w:color="000000"/>
              <w:right w:val="nil"/>
            </w:tcBorders>
            <w:tcMar>
              <w:top w:w="60" w:type="dxa"/>
              <w:left w:w="100" w:type="dxa"/>
              <w:bottom w:w="60" w:type="dxa"/>
              <w:right w:w="100" w:type="dxa"/>
            </w:tcMar>
          </w:tcPr>
          <w:p w14:paraId="141FE2F0" w14:textId="77777777" w:rsidR="009D2FD2" w:rsidRDefault="00000000">
            <w:pPr>
              <w:pStyle w:val="Tablacelda"/>
              <w:jc w:val="right"/>
            </w:pPr>
            <w:r>
              <w:t>759,5</w:t>
            </w:r>
          </w:p>
        </w:tc>
        <w:tc>
          <w:tcPr>
            <w:tcW w:w="1400" w:type="dxa"/>
            <w:tcBorders>
              <w:top w:val="nil"/>
              <w:left w:val="nil"/>
              <w:bottom w:val="single" w:sz="8" w:space="0" w:color="000000"/>
              <w:right w:val="nil"/>
            </w:tcBorders>
            <w:tcMar>
              <w:top w:w="60" w:type="dxa"/>
              <w:left w:w="100" w:type="dxa"/>
              <w:bottom w:w="60" w:type="dxa"/>
              <w:right w:w="100" w:type="dxa"/>
            </w:tcMar>
          </w:tcPr>
          <w:p w14:paraId="2651C1AB" w14:textId="77777777" w:rsidR="009D2FD2" w:rsidRDefault="00000000">
            <w:pPr>
              <w:pStyle w:val="Tablacelda"/>
              <w:jc w:val="right"/>
            </w:pPr>
            <w:r>
              <w:t>−14,5</w:t>
            </w:r>
          </w:p>
        </w:tc>
        <w:tc>
          <w:tcPr>
            <w:tcW w:w="1500" w:type="dxa"/>
            <w:tcBorders>
              <w:top w:val="nil"/>
              <w:left w:val="nil"/>
              <w:bottom w:val="single" w:sz="8" w:space="0" w:color="000000"/>
              <w:right w:val="nil"/>
            </w:tcBorders>
            <w:tcMar>
              <w:top w:w="60" w:type="dxa"/>
              <w:left w:w="100" w:type="dxa"/>
              <w:bottom w:w="60" w:type="dxa"/>
              <w:right w:w="100" w:type="dxa"/>
            </w:tcMar>
          </w:tcPr>
          <w:p w14:paraId="297F849B" w14:textId="77777777" w:rsidR="009D2FD2" w:rsidRDefault="00000000">
            <w:pPr>
              <w:pStyle w:val="Tablacelda"/>
              <w:jc w:val="right"/>
            </w:pPr>
            <w:r>
              <w:t>16,9 % / 17,3 %</w:t>
            </w:r>
          </w:p>
        </w:tc>
      </w:tr>
    </w:tbl>
    <w:p w14:paraId="039C5AD0" w14:textId="77777777" w:rsidR="009D2FD2" w:rsidRDefault="009D2FD2">
      <w:pPr>
        <w:pStyle w:val="Nota"/>
      </w:pPr>
    </w:p>
    <w:p w14:paraId="20549CBB" w14:textId="77777777" w:rsidR="009D2FD2" w:rsidRDefault="00000000">
      <w:r>
        <w:lastRenderedPageBreak/>
        <w:t>En el escenario con un peso fuerte, el peso se aprecia y los forwards cuestan unos COP 30 millones; en el central cuestan unos COP 13 millones. Lo más llamativo es que en el escenario con peso débil, donde se esperaría un gran ahorro el dólar sube más de 50 % entre los años 6 y 10, pero la cobertura solo ahorra unos COP 6 millones. Esto se explica en por el diseño consecutivo, donde cada forward se pacta con la TRM del momento más la prima de 8,1 %, así que solo protege si la depreciación dentro de su propio año supera esa prima. En el camino adverso la mayor parte de la subida ocurrió en el año 7, en los años siguientes los nuevos forwards se pactaron ya con un dólar caro y no protegieron. Como comparación, si los cuatro precios se hubieran fijado al final del año 6 en el mismo escenario adverso los forwards habrían ganado unos COP 35 millones, pero en el favorable habrían costado unos COP 99 millones. Le principal causante es que en la simulación de la primera parte se utilizo una volatilidad constante a partir del segundo año por lo que no se contemplan grandes depreciaciones dentro de los periodos finales si no mas bien un movimiento constante.</w:t>
      </w:r>
    </w:p>
    <w:p w14:paraId="690D6A21" w14:textId="77777777" w:rsidR="00D20524" w:rsidRDefault="00000000">
      <w:pPr>
        <w:pStyle w:val="Rtulotablaofigura"/>
      </w:pPr>
      <w:r>
        <w:rPr>
          <w:b/>
          <w:bCs/>
        </w:rPr>
        <w:t>Figura 2</w:t>
      </w:r>
    </w:p>
    <w:p w14:paraId="42AD56AB" w14:textId="77777777" w:rsidR="00D20524" w:rsidRDefault="00000000">
      <w:pPr>
        <w:pStyle w:val="Ttulotablaofigura"/>
      </w:pPr>
      <w:r>
        <w:t>Distribución del costo con y sin cobertura y resultado esperado de los forwards según la prima</w:t>
      </w:r>
    </w:p>
    <w:p w14:paraId="0EE2C06E" w14:textId="77777777" w:rsidR="009D2FD2" w:rsidRDefault="00000000">
      <w:pPr>
        <w:keepNext/>
        <w:spacing w:line="240" w:lineRule="auto"/>
        <w:ind w:firstLine="0"/>
        <w:jc w:val="center"/>
      </w:pPr>
      <w:r>
        <w:rPr>
          <w:noProof/>
        </w:rPr>
        <w:drawing>
          <wp:inline distT="0" distB="0" distL="0" distR="0" wp14:anchorId="08748EDC" wp14:editId="7A994C69">
            <wp:extent cx="5943600" cy="1809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1809750"/>
                    </a:xfrm>
                    <a:prstGeom prst="rect">
                      <a:avLst/>
                    </a:prstGeom>
                  </pic:spPr>
                </pic:pic>
              </a:graphicData>
            </a:graphic>
          </wp:inline>
        </w:drawing>
      </w:r>
    </w:p>
    <w:p w14:paraId="2BFCFB6D" w14:textId="77777777" w:rsidR="00D20524" w:rsidRDefault="00000000">
      <w:pPr>
        <w:pStyle w:val="Nota"/>
      </w:pPr>
      <w:r>
        <w:rPr>
          <w:i/>
          <w:iCs/>
        </w:rPr>
        <w:t xml:space="preserve">Nota. </w:t>
      </w:r>
      <w:r>
        <w:t>Fuente: elaboración propia con base en 20.000 trayectorias simuladas de la TRM.</w:t>
      </w:r>
    </w:p>
    <w:p w14:paraId="234658AB" w14:textId="77777777" w:rsidR="00D20524" w:rsidRDefault="00000000">
      <w:pPr>
        <w:pStyle w:val="Rtulotablaofigura"/>
      </w:pPr>
      <w:r>
        <w:rPr>
          <w:b/>
          <w:bCs/>
        </w:rPr>
        <w:lastRenderedPageBreak/>
        <w:t>Tabla 17</w:t>
      </w:r>
    </w:p>
    <w:p w14:paraId="5CC46A51" w14:textId="77777777" w:rsidR="00D20524" w:rsidRDefault="00000000">
      <w:pPr>
        <w:pStyle w:val="Ttulotablaofigura"/>
      </w:pPr>
      <w:r>
        <w:t>Indicadores de costo y riesgo de las estrategias de cobertura</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2760"/>
        <w:gridCol w:w="1100"/>
        <w:gridCol w:w="1100"/>
        <w:gridCol w:w="1100"/>
        <w:gridCol w:w="1100"/>
        <w:gridCol w:w="1100"/>
        <w:gridCol w:w="1100"/>
      </w:tblGrid>
      <w:tr w:rsidR="009D2FD2" w14:paraId="01A6B3AB" w14:textId="77777777">
        <w:trPr>
          <w:tblHeader/>
        </w:trPr>
        <w:tc>
          <w:tcPr>
            <w:tcW w:w="27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62F893A" w14:textId="77777777" w:rsidR="009D2FD2" w:rsidRDefault="00000000">
            <w:pPr>
              <w:pStyle w:val="Tablacelda"/>
            </w:pPr>
            <w:r>
              <w:rPr>
                <w:b/>
                <w:bCs/>
              </w:rPr>
              <w:t>Indicador (20.000 trayectorias)</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8B0742D" w14:textId="77777777" w:rsidR="009D2FD2" w:rsidRDefault="00000000">
            <w:pPr>
              <w:pStyle w:val="Tablacelda"/>
              <w:jc w:val="right"/>
            </w:pPr>
            <w:r>
              <w:rPr>
                <w:b/>
                <w:bCs/>
              </w:rPr>
              <w:t>Normal: sin</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4465B0CC" w14:textId="77777777" w:rsidR="009D2FD2" w:rsidRDefault="00000000">
            <w:pPr>
              <w:pStyle w:val="Tablacelda"/>
              <w:jc w:val="right"/>
            </w:pPr>
            <w:r>
              <w:rPr>
                <w:b/>
                <w:bCs/>
              </w:rPr>
              <w:t>Normal: rodante</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C3C62C5" w14:textId="77777777" w:rsidR="009D2FD2" w:rsidRDefault="00000000">
            <w:pPr>
              <w:pStyle w:val="Tablacelda"/>
              <w:jc w:val="right"/>
            </w:pPr>
            <w:r>
              <w:rPr>
                <w:b/>
                <w:bCs/>
              </w:rPr>
              <w:t>Normal: strip</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3A5DF2F" w14:textId="77777777" w:rsidR="009D2FD2" w:rsidRDefault="00000000">
            <w:pPr>
              <w:pStyle w:val="Tablacelda"/>
              <w:jc w:val="right"/>
            </w:pPr>
            <w:r>
              <w:rPr>
                <w:b/>
                <w:bCs/>
              </w:rPr>
              <w:t>t: sin</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D6FC9B8" w14:textId="77777777" w:rsidR="009D2FD2" w:rsidRDefault="00000000">
            <w:pPr>
              <w:pStyle w:val="Tablacelda"/>
              <w:jc w:val="right"/>
            </w:pPr>
            <w:r>
              <w:rPr>
                <w:b/>
                <w:bCs/>
              </w:rPr>
              <w:t>t: rodante</w:t>
            </w:r>
          </w:p>
        </w:tc>
        <w:tc>
          <w:tcPr>
            <w:tcW w:w="11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49A61CD" w14:textId="77777777" w:rsidR="009D2FD2" w:rsidRDefault="00000000">
            <w:pPr>
              <w:pStyle w:val="Tablacelda"/>
              <w:jc w:val="right"/>
            </w:pPr>
            <w:r>
              <w:rPr>
                <w:b/>
                <w:bCs/>
              </w:rPr>
              <w:t>t: strip</w:t>
            </w:r>
          </w:p>
        </w:tc>
      </w:tr>
      <w:tr w:rsidR="009D2FD2" w14:paraId="694BA9ED" w14:textId="77777777">
        <w:tc>
          <w:tcPr>
            <w:tcW w:w="2760" w:type="dxa"/>
            <w:tcBorders>
              <w:top w:val="nil"/>
              <w:left w:val="nil"/>
              <w:bottom w:val="nil"/>
              <w:right w:val="nil"/>
            </w:tcBorders>
            <w:tcMar>
              <w:top w:w="60" w:type="dxa"/>
              <w:left w:w="100" w:type="dxa"/>
              <w:bottom w:w="60" w:type="dxa"/>
              <w:right w:w="100" w:type="dxa"/>
            </w:tcMar>
          </w:tcPr>
          <w:p w14:paraId="73475174" w14:textId="77777777" w:rsidR="009D2FD2" w:rsidRDefault="00000000">
            <w:pPr>
              <w:pStyle w:val="Tablacelda"/>
            </w:pPr>
            <w:r>
              <w:t>Costo total, media (COP millones)</w:t>
            </w:r>
          </w:p>
        </w:tc>
        <w:tc>
          <w:tcPr>
            <w:tcW w:w="1100" w:type="dxa"/>
            <w:tcBorders>
              <w:top w:val="nil"/>
              <w:left w:val="nil"/>
              <w:bottom w:val="nil"/>
              <w:right w:val="nil"/>
            </w:tcBorders>
            <w:tcMar>
              <w:top w:w="60" w:type="dxa"/>
              <w:left w:w="100" w:type="dxa"/>
              <w:bottom w:w="60" w:type="dxa"/>
              <w:right w:w="100" w:type="dxa"/>
            </w:tcMar>
          </w:tcPr>
          <w:p w14:paraId="120CC109" w14:textId="77777777" w:rsidR="009D2FD2" w:rsidRDefault="00000000">
            <w:pPr>
              <w:pStyle w:val="Tablacelda"/>
              <w:jc w:val="right"/>
            </w:pPr>
            <w:r>
              <w:t>778,3</w:t>
            </w:r>
          </w:p>
        </w:tc>
        <w:tc>
          <w:tcPr>
            <w:tcW w:w="1100" w:type="dxa"/>
            <w:tcBorders>
              <w:top w:val="nil"/>
              <w:left w:val="nil"/>
              <w:bottom w:val="nil"/>
              <w:right w:val="nil"/>
            </w:tcBorders>
            <w:tcMar>
              <w:top w:w="60" w:type="dxa"/>
              <w:left w:w="100" w:type="dxa"/>
              <w:bottom w:w="60" w:type="dxa"/>
              <w:right w:w="100" w:type="dxa"/>
            </w:tcMar>
          </w:tcPr>
          <w:p w14:paraId="0E5638E2" w14:textId="77777777" w:rsidR="009D2FD2" w:rsidRDefault="00000000">
            <w:pPr>
              <w:pStyle w:val="Tablacelda"/>
              <w:jc w:val="right"/>
            </w:pPr>
            <w:r>
              <w:t>791,6</w:t>
            </w:r>
          </w:p>
        </w:tc>
        <w:tc>
          <w:tcPr>
            <w:tcW w:w="1100" w:type="dxa"/>
            <w:tcBorders>
              <w:top w:val="nil"/>
              <w:left w:val="nil"/>
              <w:bottom w:val="nil"/>
              <w:right w:val="nil"/>
            </w:tcBorders>
            <w:tcMar>
              <w:top w:w="60" w:type="dxa"/>
              <w:left w:w="100" w:type="dxa"/>
              <w:bottom w:w="60" w:type="dxa"/>
              <w:right w:w="100" w:type="dxa"/>
            </w:tcMar>
          </w:tcPr>
          <w:p w14:paraId="1CD0FBF0" w14:textId="77777777" w:rsidR="009D2FD2" w:rsidRDefault="00000000">
            <w:pPr>
              <w:pStyle w:val="Tablacelda"/>
              <w:jc w:val="right"/>
            </w:pPr>
            <w:r>
              <w:t>813,9</w:t>
            </w:r>
          </w:p>
        </w:tc>
        <w:tc>
          <w:tcPr>
            <w:tcW w:w="1100" w:type="dxa"/>
            <w:tcBorders>
              <w:top w:val="nil"/>
              <w:left w:val="nil"/>
              <w:bottom w:val="nil"/>
              <w:right w:val="nil"/>
            </w:tcBorders>
            <w:tcMar>
              <w:top w:w="60" w:type="dxa"/>
              <w:left w:w="100" w:type="dxa"/>
              <w:bottom w:w="60" w:type="dxa"/>
              <w:right w:w="100" w:type="dxa"/>
            </w:tcMar>
          </w:tcPr>
          <w:p w14:paraId="185DE4C1" w14:textId="77777777" w:rsidR="009D2FD2" w:rsidRDefault="00000000">
            <w:pPr>
              <w:pStyle w:val="Tablacelda"/>
              <w:jc w:val="right"/>
            </w:pPr>
            <w:r>
              <w:t>778,0</w:t>
            </w:r>
          </w:p>
        </w:tc>
        <w:tc>
          <w:tcPr>
            <w:tcW w:w="1100" w:type="dxa"/>
            <w:tcBorders>
              <w:top w:val="nil"/>
              <w:left w:val="nil"/>
              <w:bottom w:val="nil"/>
              <w:right w:val="nil"/>
            </w:tcBorders>
            <w:tcMar>
              <w:top w:w="60" w:type="dxa"/>
              <w:left w:w="100" w:type="dxa"/>
              <w:bottom w:w="60" w:type="dxa"/>
              <w:right w:w="100" w:type="dxa"/>
            </w:tcMar>
          </w:tcPr>
          <w:p w14:paraId="651D8D4A" w14:textId="77777777" w:rsidR="009D2FD2" w:rsidRDefault="00000000">
            <w:pPr>
              <w:pStyle w:val="Tablacelda"/>
              <w:jc w:val="right"/>
            </w:pPr>
            <w:r>
              <w:t>791,1</w:t>
            </w:r>
          </w:p>
        </w:tc>
        <w:tc>
          <w:tcPr>
            <w:tcW w:w="1100" w:type="dxa"/>
            <w:tcBorders>
              <w:top w:val="nil"/>
              <w:left w:val="nil"/>
              <w:bottom w:val="nil"/>
              <w:right w:val="nil"/>
            </w:tcBorders>
            <w:tcMar>
              <w:top w:w="60" w:type="dxa"/>
              <w:left w:w="100" w:type="dxa"/>
              <w:bottom w:w="60" w:type="dxa"/>
              <w:right w:w="100" w:type="dxa"/>
            </w:tcMar>
          </w:tcPr>
          <w:p w14:paraId="39C22D2B" w14:textId="77777777" w:rsidR="009D2FD2" w:rsidRDefault="00000000">
            <w:pPr>
              <w:pStyle w:val="Tablacelda"/>
              <w:jc w:val="right"/>
            </w:pPr>
            <w:r>
              <w:t>813,0</w:t>
            </w:r>
          </w:p>
        </w:tc>
      </w:tr>
      <w:tr w:rsidR="009D2FD2" w14:paraId="21554650" w14:textId="77777777">
        <w:tc>
          <w:tcPr>
            <w:tcW w:w="2760" w:type="dxa"/>
            <w:tcBorders>
              <w:top w:val="nil"/>
              <w:left w:val="nil"/>
              <w:bottom w:val="nil"/>
              <w:right w:val="nil"/>
            </w:tcBorders>
            <w:tcMar>
              <w:top w:w="60" w:type="dxa"/>
              <w:left w:w="100" w:type="dxa"/>
              <w:bottom w:w="60" w:type="dxa"/>
              <w:right w:w="100" w:type="dxa"/>
            </w:tcMar>
          </w:tcPr>
          <w:p w14:paraId="16C2EB1A" w14:textId="77777777" w:rsidR="009D2FD2" w:rsidRDefault="00000000">
            <w:pPr>
              <w:pStyle w:val="Tablacelda"/>
            </w:pPr>
            <w:r>
              <w:t>Costo total, desviación estándar</w:t>
            </w:r>
          </w:p>
        </w:tc>
        <w:tc>
          <w:tcPr>
            <w:tcW w:w="1100" w:type="dxa"/>
            <w:tcBorders>
              <w:top w:val="nil"/>
              <w:left w:val="nil"/>
              <w:bottom w:val="nil"/>
              <w:right w:val="nil"/>
            </w:tcBorders>
            <w:tcMar>
              <w:top w:w="60" w:type="dxa"/>
              <w:left w:w="100" w:type="dxa"/>
              <w:bottom w:w="60" w:type="dxa"/>
              <w:right w:w="100" w:type="dxa"/>
            </w:tcMar>
          </w:tcPr>
          <w:p w14:paraId="4EC1FD8A" w14:textId="77777777" w:rsidR="009D2FD2" w:rsidRDefault="00000000">
            <w:pPr>
              <w:pStyle w:val="Tablacelda"/>
              <w:jc w:val="right"/>
            </w:pPr>
            <w:r>
              <w:t>182,9</w:t>
            </w:r>
          </w:p>
        </w:tc>
        <w:tc>
          <w:tcPr>
            <w:tcW w:w="1100" w:type="dxa"/>
            <w:tcBorders>
              <w:top w:val="nil"/>
              <w:left w:val="nil"/>
              <w:bottom w:val="nil"/>
              <w:right w:val="nil"/>
            </w:tcBorders>
            <w:tcMar>
              <w:top w:w="60" w:type="dxa"/>
              <w:left w:w="100" w:type="dxa"/>
              <w:bottom w:w="60" w:type="dxa"/>
              <w:right w:w="100" w:type="dxa"/>
            </w:tcMar>
          </w:tcPr>
          <w:p w14:paraId="032880B6" w14:textId="77777777" w:rsidR="009D2FD2" w:rsidRDefault="00000000">
            <w:pPr>
              <w:pStyle w:val="Tablacelda"/>
              <w:jc w:val="right"/>
            </w:pPr>
            <w:r>
              <w:t>183,4</w:t>
            </w:r>
          </w:p>
        </w:tc>
        <w:tc>
          <w:tcPr>
            <w:tcW w:w="1100" w:type="dxa"/>
            <w:tcBorders>
              <w:top w:val="nil"/>
              <w:left w:val="nil"/>
              <w:bottom w:val="nil"/>
              <w:right w:val="nil"/>
            </w:tcBorders>
            <w:tcMar>
              <w:top w:w="60" w:type="dxa"/>
              <w:left w:w="100" w:type="dxa"/>
              <w:bottom w:w="60" w:type="dxa"/>
              <w:right w:w="100" w:type="dxa"/>
            </w:tcMar>
          </w:tcPr>
          <w:p w14:paraId="43DE76F8" w14:textId="77777777" w:rsidR="009D2FD2" w:rsidRDefault="00000000">
            <w:pPr>
              <w:pStyle w:val="Tablacelda"/>
              <w:jc w:val="right"/>
            </w:pPr>
            <w:r>
              <w:t>184,8</w:t>
            </w:r>
          </w:p>
        </w:tc>
        <w:tc>
          <w:tcPr>
            <w:tcW w:w="1100" w:type="dxa"/>
            <w:tcBorders>
              <w:top w:val="nil"/>
              <w:left w:val="nil"/>
              <w:bottom w:val="nil"/>
              <w:right w:val="nil"/>
            </w:tcBorders>
            <w:tcMar>
              <w:top w:w="60" w:type="dxa"/>
              <w:left w:w="100" w:type="dxa"/>
              <w:bottom w:w="60" w:type="dxa"/>
              <w:right w:w="100" w:type="dxa"/>
            </w:tcMar>
          </w:tcPr>
          <w:p w14:paraId="4886F26B" w14:textId="77777777" w:rsidR="009D2FD2" w:rsidRDefault="00000000">
            <w:pPr>
              <w:pStyle w:val="Tablacelda"/>
              <w:jc w:val="right"/>
            </w:pPr>
            <w:r>
              <w:t>183,2</w:t>
            </w:r>
          </w:p>
        </w:tc>
        <w:tc>
          <w:tcPr>
            <w:tcW w:w="1100" w:type="dxa"/>
            <w:tcBorders>
              <w:top w:val="nil"/>
              <w:left w:val="nil"/>
              <w:bottom w:val="nil"/>
              <w:right w:val="nil"/>
            </w:tcBorders>
            <w:tcMar>
              <w:top w:w="60" w:type="dxa"/>
              <w:left w:w="100" w:type="dxa"/>
              <w:bottom w:w="60" w:type="dxa"/>
              <w:right w:w="100" w:type="dxa"/>
            </w:tcMar>
          </w:tcPr>
          <w:p w14:paraId="7C0EDA0B" w14:textId="77777777" w:rsidR="009D2FD2" w:rsidRDefault="00000000">
            <w:pPr>
              <w:pStyle w:val="Tablacelda"/>
              <w:jc w:val="right"/>
            </w:pPr>
            <w:r>
              <w:t>183,4</w:t>
            </w:r>
          </w:p>
        </w:tc>
        <w:tc>
          <w:tcPr>
            <w:tcW w:w="1100" w:type="dxa"/>
            <w:tcBorders>
              <w:top w:val="nil"/>
              <w:left w:val="nil"/>
              <w:bottom w:val="nil"/>
              <w:right w:val="nil"/>
            </w:tcBorders>
            <w:tcMar>
              <w:top w:w="60" w:type="dxa"/>
              <w:left w:w="100" w:type="dxa"/>
              <w:bottom w:w="60" w:type="dxa"/>
              <w:right w:w="100" w:type="dxa"/>
            </w:tcMar>
          </w:tcPr>
          <w:p w14:paraId="60CFDCC4" w14:textId="77777777" w:rsidR="009D2FD2" w:rsidRDefault="00000000">
            <w:pPr>
              <w:pStyle w:val="Tablacelda"/>
              <w:jc w:val="right"/>
            </w:pPr>
            <w:r>
              <w:t>184,9</w:t>
            </w:r>
          </w:p>
        </w:tc>
      </w:tr>
      <w:tr w:rsidR="009D2FD2" w14:paraId="32C9E694" w14:textId="77777777">
        <w:tc>
          <w:tcPr>
            <w:tcW w:w="2760" w:type="dxa"/>
            <w:tcBorders>
              <w:top w:val="nil"/>
              <w:left w:val="nil"/>
              <w:bottom w:val="nil"/>
              <w:right w:val="nil"/>
            </w:tcBorders>
            <w:tcMar>
              <w:top w:w="60" w:type="dxa"/>
              <w:left w:w="100" w:type="dxa"/>
              <w:bottom w:w="60" w:type="dxa"/>
              <w:right w:w="100" w:type="dxa"/>
            </w:tcMar>
          </w:tcPr>
          <w:p w14:paraId="5F772F3F" w14:textId="77777777" w:rsidR="009D2FD2" w:rsidRDefault="00000000">
            <w:pPr>
              <w:pStyle w:val="Tablacelda"/>
            </w:pPr>
            <w:r>
              <w:t>Costo total, CVaR 95 %</w:t>
            </w:r>
          </w:p>
        </w:tc>
        <w:tc>
          <w:tcPr>
            <w:tcW w:w="1100" w:type="dxa"/>
            <w:tcBorders>
              <w:top w:val="nil"/>
              <w:left w:val="nil"/>
              <w:bottom w:val="nil"/>
              <w:right w:val="nil"/>
            </w:tcBorders>
            <w:tcMar>
              <w:top w:w="60" w:type="dxa"/>
              <w:left w:w="100" w:type="dxa"/>
              <w:bottom w:w="60" w:type="dxa"/>
              <w:right w:w="100" w:type="dxa"/>
            </w:tcMar>
          </w:tcPr>
          <w:p w14:paraId="7A5C68F6" w14:textId="77777777" w:rsidR="009D2FD2" w:rsidRDefault="00000000">
            <w:pPr>
              <w:pStyle w:val="Tablacelda"/>
              <w:jc w:val="right"/>
            </w:pPr>
            <w:r>
              <w:t>1.244,4</w:t>
            </w:r>
          </w:p>
        </w:tc>
        <w:tc>
          <w:tcPr>
            <w:tcW w:w="1100" w:type="dxa"/>
            <w:tcBorders>
              <w:top w:val="nil"/>
              <w:left w:val="nil"/>
              <w:bottom w:val="nil"/>
              <w:right w:val="nil"/>
            </w:tcBorders>
            <w:tcMar>
              <w:top w:w="60" w:type="dxa"/>
              <w:left w:w="100" w:type="dxa"/>
              <w:bottom w:w="60" w:type="dxa"/>
              <w:right w:w="100" w:type="dxa"/>
            </w:tcMar>
          </w:tcPr>
          <w:p w14:paraId="4633A6D8" w14:textId="77777777" w:rsidR="009D2FD2" w:rsidRDefault="00000000">
            <w:pPr>
              <w:pStyle w:val="Tablacelda"/>
              <w:jc w:val="right"/>
            </w:pPr>
            <w:r>
              <w:t>1.257,5</w:t>
            </w:r>
          </w:p>
        </w:tc>
        <w:tc>
          <w:tcPr>
            <w:tcW w:w="1100" w:type="dxa"/>
            <w:tcBorders>
              <w:top w:val="nil"/>
              <w:left w:val="nil"/>
              <w:bottom w:val="nil"/>
              <w:right w:val="nil"/>
            </w:tcBorders>
            <w:tcMar>
              <w:top w:w="60" w:type="dxa"/>
              <w:left w:w="100" w:type="dxa"/>
              <w:bottom w:w="60" w:type="dxa"/>
              <w:right w:w="100" w:type="dxa"/>
            </w:tcMar>
          </w:tcPr>
          <w:p w14:paraId="46948183" w14:textId="77777777" w:rsidR="009D2FD2" w:rsidRDefault="00000000">
            <w:pPr>
              <w:pStyle w:val="Tablacelda"/>
              <w:jc w:val="right"/>
            </w:pPr>
            <w:r>
              <w:t>1.281,0</w:t>
            </w:r>
          </w:p>
        </w:tc>
        <w:tc>
          <w:tcPr>
            <w:tcW w:w="1100" w:type="dxa"/>
            <w:tcBorders>
              <w:top w:val="nil"/>
              <w:left w:val="nil"/>
              <w:bottom w:val="nil"/>
              <w:right w:val="nil"/>
            </w:tcBorders>
            <w:tcMar>
              <w:top w:w="60" w:type="dxa"/>
              <w:left w:w="100" w:type="dxa"/>
              <w:bottom w:w="60" w:type="dxa"/>
              <w:right w:w="100" w:type="dxa"/>
            </w:tcMar>
          </w:tcPr>
          <w:p w14:paraId="4A395EA6" w14:textId="77777777" w:rsidR="009D2FD2" w:rsidRDefault="00000000">
            <w:pPr>
              <w:pStyle w:val="Tablacelda"/>
              <w:jc w:val="right"/>
            </w:pPr>
            <w:r>
              <w:t>1.245,7</w:t>
            </w:r>
          </w:p>
        </w:tc>
        <w:tc>
          <w:tcPr>
            <w:tcW w:w="1100" w:type="dxa"/>
            <w:tcBorders>
              <w:top w:val="nil"/>
              <w:left w:val="nil"/>
              <w:bottom w:val="nil"/>
              <w:right w:val="nil"/>
            </w:tcBorders>
            <w:tcMar>
              <w:top w:w="60" w:type="dxa"/>
              <w:left w:w="100" w:type="dxa"/>
              <w:bottom w:w="60" w:type="dxa"/>
              <w:right w:w="100" w:type="dxa"/>
            </w:tcMar>
          </w:tcPr>
          <w:p w14:paraId="15F0DAE7" w14:textId="77777777" w:rsidR="009D2FD2" w:rsidRDefault="00000000">
            <w:pPr>
              <w:pStyle w:val="Tablacelda"/>
              <w:jc w:val="right"/>
            </w:pPr>
            <w:r>
              <w:t>1.257,2</w:t>
            </w:r>
          </w:p>
        </w:tc>
        <w:tc>
          <w:tcPr>
            <w:tcW w:w="1100" w:type="dxa"/>
            <w:tcBorders>
              <w:top w:val="nil"/>
              <w:left w:val="nil"/>
              <w:bottom w:val="nil"/>
              <w:right w:val="nil"/>
            </w:tcBorders>
            <w:tcMar>
              <w:top w:w="60" w:type="dxa"/>
              <w:left w:w="100" w:type="dxa"/>
              <w:bottom w:w="60" w:type="dxa"/>
              <w:right w:w="100" w:type="dxa"/>
            </w:tcMar>
          </w:tcPr>
          <w:p w14:paraId="540A862A" w14:textId="77777777" w:rsidR="009D2FD2" w:rsidRDefault="00000000">
            <w:pPr>
              <w:pStyle w:val="Tablacelda"/>
              <w:jc w:val="right"/>
            </w:pPr>
            <w:r>
              <w:t>1.280,6</w:t>
            </w:r>
          </w:p>
        </w:tc>
      </w:tr>
      <w:tr w:rsidR="009D2FD2" w14:paraId="5222E274" w14:textId="77777777">
        <w:tc>
          <w:tcPr>
            <w:tcW w:w="2760" w:type="dxa"/>
            <w:tcBorders>
              <w:top w:val="nil"/>
              <w:left w:val="nil"/>
              <w:bottom w:val="nil"/>
              <w:right w:val="nil"/>
            </w:tcBorders>
            <w:tcMar>
              <w:top w:w="60" w:type="dxa"/>
              <w:left w:w="100" w:type="dxa"/>
              <w:bottom w:w="60" w:type="dxa"/>
              <w:right w:w="100" w:type="dxa"/>
            </w:tcMar>
          </w:tcPr>
          <w:p w14:paraId="069F9622" w14:textId="77777777" w:rsidR="009D2FD2" w:rsidRDefault="00000000">
            <w:pPr>
              <w:pStyle w:val="Tablacelda"/>
            </w:pPr>
            <w:r>
              <w:t>Costo efectivo anual, media</w:t>
            </w:r>
          </w:p>
        </w:tc>
        <w:tc>
          <w:tcPr>
            <w:tcW w:w="1100" w:type="dxa"/>
            <w:tcBorders>
              <w:top w:val="nil"/>
              <w:left w:val="nil"/>
              <w:bottom w:val="nil"/>
              <w:right w:val="nil"/>
            </w:tcBorders>
            <w:tcMar>
              <w:top w:w="60" w:type="dxa"/>
              <w:left w:w="100" w:type="dxa"/>
              <w:bottom w:w="60" w:type="dxa"/>
              <w:right w:w="100" w:type="dxa"/>
            </w:tcMar>
          </w:tcPr>
          <w:p w14:paraId="334F4C14" w14:textId="77777777" w:rsidR="009D2FD2" w:rsidRDefault="00000000">
            <w:pPr>
              <w:pStyle w:val="Tablacelda"/>
              <w:jc w:val="right"/>
            </w:pPr>
            <w:r>
              <w:t>17,4 %</w:t>
            </w:r>
          </w:p>
        </w:tc>
        <w:tc>
          <w:tcPr>
            <w:tcW w:w="1100" w:type="dxa"/>
            <w:tcBorders>
              <w:top w:val="nil"/>
              <w:left w:val="nil"/>
              <w:bottom w:val="nil"/>
              <w:right w:val="nil"/>
            </w:tcBorders>
            <w:tcMar>
              <w:top w:w="60" w:type="dxa"/>
              <w:left w:w="100" w:type="dxa"/>
              <w:bottom w:w="60" w:type="dxa"/>
              <w:right w:w="100" w:type="dxa"/>
            </w:tcMar>
          </w:tcPr>
          <w:p w14:paraId="042657D0" w14:textId="77777777" w:rsidR="009D2FD2" w:rsidRDefault="00000000">
            <w:pPr>
              <w:pStyle w:val="Tablacelda"/>
              <w:jc w:val="right"/>
            </w:pPr>
            <w:r>
              <w:t>17,7 %</w:t>
            </w:r>
          </w:p>
        </w:tc>
        <w:tc>
          <w:tcPr>
            <w:tcW w:w="1100" w:type="dxa"/>
            <w:tcBorders>
              <w:top w:val="nil"/>
              <w:left w:val="nil"/>
              <w:bottom w:val="nil"/>
              <w:right w:val="nil"/>
            </w:tcBorders>
            <w:tcMar>
              <w:top w:w="60" w:type="dxa"/>
              <w:left w:w="100" w:type="dxa"/>
              <w:bottom w:w="60" w:type="dxa"/>
              <w:right w:w="100" w:type="dxa"/>
            </w:tcMar>
          </w:tcPr>
          <w:p w14:paraId="4E03710C" w14:textId="77777777" w:rsidR="009D2FD2" w:rsidRDefault="00000000">
            <w:pPr>
              <w:pStyle w:val="Tablacelda"/>
              <w:jc w:val="right"/>
            </w:pPr>
            <w:r>
              <w:t>18,1 %</w:t>
            </w:r>
          </w:p>
        </w:tc>
        <w:tc>
          <w:tcPr>
            <w:tcW w:w="1100" w:type="dxa"/>
            <w:tcBorders>
              <w:top w:val="nil"/>
              <w:left w:val="nil"/>
              <w:bottom w:val="nil"/>
              <w:right w:val="nil"/>
            </w:tcBorders>
            <w:tcMar>
              <w:top w:w="60" w:type="dxa"/>
              <w:left w:w="100" w:type="dxa"/>
              <w:bottom w:w="60" w:type="dxa"/>
              <w:right w:w="100" w:type="dxa"/>
            </w:tcMar>
          </w:tcPr>
          <w:p w14:paraId="7514B2D2" w14:textId="77777777" w:rsidR="009D2FD2" w:rsidRDefault="00000000">
            <w:pPr>
              <w:pStyle w:val="Tablacelda"/>
              <w:jc w:val="right"/>
            </w:pPr>
            <w:r>
              <w:t>17,4 %</w:t>
            </w:r>
          </w:p>
        </w:tc>
        <w:tc>
          <w:tcPr>
            <w:tcW w:w="1100" w:type="dxa"/>
            <w:tcBorders>
              <w:top w:val="nil"/>
              <w:left w:val="nil"/>
              <w:bottom w:val="nil"/>
              <w:right w:val="nil"/>
            </w:tcBorders>
            <w:tcMar>
              <w:top w:w="60" w:type="dxa"/>
              <w:left w:w="100" w:type="dxa"/>
              <w:bottom w:w="60" w:type="dxa"/>
              <w:right w:w="100" w:type="dxa"/>
            </w:tcMar>
          </w:tcPr>
          <w:p w14:paraId="361D1DD9" w14:textId="77777777" w:rsidR="009D2FD2" w:rsidRDefault="00000000">
            <w:pPr>
              <w:pStyle w:val="Tablacelda"/>
              <w:jc w:val="right"/>
            </w:pPr>
            <w:r>
              <w:t>17,6 %</w:t>
            </w:r>
          </w:p>
        </w:tc>
        <w:tc>
          <w:tcPr>
            <w:tcW w:w="1100" w:type="dxa"/>
            <w:tcBorders>
              <w:top w:val="nil"/>
              <w:left w:val="nil"/>
              <w:bottom w:val="nil"/>
              <w:right w:val="nil"/>
            </w:tcBorders>
            <w:tcMar>
              <w:top w:w="60" w:type="dxa"/>
              <w:left w:w="100" w:type="dxa"/>
              <w:bottom w:w="60" w:type="dxa"/>
              <w:right w:w="100" w:type="dxa"/>
            </w:tcMar>
          </w:tcPr>
          <w:p w14:paraId="160ED58B" w14:textId="77777777" w:rsidR="009D2FD2" w:rsidRDefault="00000000">
            <w:pPr>
              <w:pStyle w:val="Tablacelda"/>
              <w:jc w:val="right"/>
            </w:pPr>
            <w:r>
              <w:t>18,0 %</w:t>
            </w:r>
          </w:p>
        </w:tc>
      </w:tr>
      <w:tr w:rsidR="009D2FD2" w14:paraId="56D6C981" w14:textId="77777777">
        <w:tc>
          <w:tcPr>
            <w:tcW w:w="2760" w:type="dxa"/>
            <w:tcBorders>
              <w:top w:val="nil"/>
              <w:left w:val="nil"/>
              <w:bottom w:val="nil"/>
              <w:right w:val="nil"/>
            </w:tcBorders>
            <w:tcMar>
              <w:top w:w="60" w:type="dxa"/>
              <w:left w:w="100" w:type="dxa"/>
              <w:bottom w:w="60" w:type="dxa"/>
              <w:right w:w="100" w:type="dxa"/>
            </w:tcMar>
          </w:tcPr>
          <w:p w14:paraId="1F565562" w14:textId="77777777" w:rsidR="009D2FD2" w:rsidRDefault="00000000">
            <w:pPr>
              <w:pStyle w:val="Tablacelda"/>
            </w:pPr>
            <w:r>
              <w:t>Desde el año 6: sobrecosto medio años 7-10</w:t>
            </w:r>
          </w:p>
        </w:tc>
        <w:tc>
          <w:tcPr>
            <w:tcW w:w="1100" w:type="dxa"/>
            <w:tcBorders>
              <w:top w:val="nil"/>
              <w:left w:val="nil"/>
              <w:bottom w:val="nil"/>
              <w:right w:val="nil"/>
            </w:tcBorders>
            <w:tcMar>
              <w:top w:w="60" w:type="dxa"/>
              <w:left w:w="100" w:type="dxa"/>
              <w:bottom w:w="60" w:type="dxa"/>
              <w:right w:w="100" w:type="dxa"/>
            </w:tcMar>
          </w:tcPr>
          <w:p w14:paraId="4E1650E4" w14:textId="77777777" w:rsidR="009D2FD2" w:rsidRDefault="00000000">
            <w:pPr>
              <w:pStyle w:val="Tablacelda"/>
              <w:jc w:val="right"/>
            </w:pPr>
            <w:r>
              <w:t>6,0 %</w:t>
            </w:r>
          </w:p>
        </w:tc>
        <w:tc>
          <w:tcPr>
            <w:tcW w:w="1100" w:type="dxa"/>
            <w:tcBorders>
              <w:top w:val="nil"/>
              <w:left w:val="nil"/>
              <w:bottom w:val="nil"/>
              <w:right w:val="nil"/>
            </w:tcBorders>
            <w:tcMar>
              <w:top w:w="60" w:type="dxa"/>
              <w:left w:w="100" w:type="dxa"/>
              <w:bottom w:w="60" w:type="dxa"/>
              <w:right w:w="100" w:type="dxa"/>
            </w:tcMar>
          </w:tcPr>
          <w:p w14:paraId="492A0ED3" w14:textId="77777777" w:rsidR="009D2FD2" w:rsidRDefault="00000000">
            <w:pPr>
              <w:pStyle w:val="Tablacelda"/>
              <w:jc w:val="right"/>
            </w:pPr>
            <w:r>
              <w:t>10,1 %</w:t>
            </w:r>
          </w:p>
        </w:tc>
        <w:tc>
          <w:tcPr>
            <w:tcW w:w="1100" w:type="dxa"/>
            <w:tcBorders>
              <w:top w:val="nil"/>
              <w:left w:val="nil"/>
              <w:bottom w:val="nil"/>
              <w:right w:val="nil"/>
            </w:tcBorders>
            <w:tcMar>
              <w:top w:w="60" w:type="dxa"/>
              <w:left w:w="100" w:type="dxa"/>
              <w:bottom w:w="60" w:type="dxa"/>
              <w:right w:w="100" w:type="dxa"/>
            </w:tcMar>
          </w:tcPr>
          <w:p w14:paraId="6D877FE1" w14:textId="77777777" w:rsidR="009D2FD2" w:rsidRDefault="00000000">
            <w:pPr>
              <w:pStyle w:val="Tablacelda"/>
              <w:jc w:val="right"/>
            </w:pPr>
            <w:r>
              <w:t>17,2 %</w:t>
            </w:r>
          </w:p>
        </w:tc>
        <w:tc>
          <w:tcPr>
            <w:tcW w:w="1100" w:type="dxa"/>
            <w:tcBorders>
              <w:top w:val="nil"/>
              <w:left w:val="nil"/>
              <w:bottom w:val="nil"/>
              <w:right w:val="nil"/>
            </w:tcBorders>
            <w:tcMar>
              <w:top w:w="60" w:type="dxa"/>
              <w:left w:w="100" w:type="dxa"/>
              <w:bottom w:w="60" w:type="dxa"/>
              <w:right w:w="100" w:type="dxa"/>
            </w:tcMar>
          </w:tcPr>
          <w:p w14:paraId="0241C2AB" w14:textId="77777777" w:rsidR="009D2FD2" w:rsidRDefault="00000000">
            <w:pPr>
              <w:pStyle w:val="Tablacelda"/>
              <w:jc w:val="right"/>
            </w:pPr>
            <w:r>
              <w:t>6,2 %</w:t>
            </w:r>
          </w:p>
        </w:tc>
        <w:tc>
          <w:tcPr>
            <w:tcW w:w="1100" w:type="dxa"/>
            <w:tcBorders>
              <w:top w:val="nil"/>
              <w:left w:val="nil"/>
              <w:bottom w:val="nil"/>
              <w:right w:val="nil"/>
            </w:tcBorders>
            <w:tcMar>
              <w:top w:w="60" w:type="dxa"/>
              <w:left w:w="100" w:type="dxa"/>
              <w:bottom w:w="60" w:type="dxa"/>
              <w:right w:w="100" w:type="dxa"/>
            </w:tcMar>
          </w:tcPr>
          <w:p w14:paraId="2FD5CB33" w14:textId="77777777" w:rsidR="009D2FD2" w:rsidRDefault="00000000">
            <w:pPr>
              <w:pStyle w:val="Tablacelda"/>
              <w:jc w:val="right"/>
            </w:pPr>
            <w:r>
              <w:t>10,3 %</w:t>
            </w:r>
          </w:p>
        </w:tc>
        <w:tc>
          <w:tcPr>
            <w:tcW w:w="1100" w:type="dxa"/>
            <w:tcBorders>
              <w:top w:val="nil"/>
              <w:left w:val="nil"/>
              <w:bottom w:val="nil"/>
              <w:right w:val="nil"/>
            </w:tcBorders>
            <w:tcMar>
              <w:top w:w="60" w:type="dxa"/>
              <w:left w:w="100" w:type="dxa"/>
              <w:bottom w:w="60" w:type="dxa"/>
              <w:right w:w="100" w:type="dxa"/>
            </w:tcMar>
          </w:tcPr>
          <w:p w14:paraId="37E13C65" w14:textId="77777777" w:rsidR="009D2FD2" w:rsidRDefault="00000000">
            <w:pPr>
              <w:pStyle w:val="Tablacelda"/>
              <w:jc w:val="right"/>
            </w:pPr>
            <w:r>
              <w:t>17,2 %</w:t>
            </w:r>
          </w:p>
        </w:tc>
      </w:tr>
      <w:tr w:rsidR="009D2FD2" w14:paraId="36F50491" w14:textId="77777777">
        <w:tc>
          <w:tcPr>
            <w:tcW w:w="2760" w:type="dxa"/>
            <w:tcBorders>
              <w:top w:val="nil"/>
              <w:left w:val="nil"/>
              <w:bottom w:val="nil"/>
              <w:right w:val="nil"/>
            </w:tcBorders>
            <w:tcMar>
              <w:top w:w="60" w:type="dxa"/>
              <w:left w:w="100" w:type="dxa"/>
              <w:bottom w:w="60" w:type="dxa"/>
              <w:right w:w="100" w:type="dxa"/>
            </w:tcMar>
          </w:tcPr>
          <w:p w14:paraId="08FD3967" w14:textId="77777777" w:rsidR="009D2FD2" w:rsidRDefault="00000000">
            <w:pPr>
              <w:pStyle w:val="Tablacelda"/>
            </w:pPr>
            <w:r>
              <w:t>Desde el año 6: desviación estándar</w:t>
            </w:r>
          </w:p>
        </w:tc>
        <w:tc>
          <w:tcPr>
            <w:tcW w:w="1100" w:type="dxa"/>
            <w:tcBorders>
              <w:top w:val="nil"/>
              <w:left w:val="nil"/>
              <w:bottom w:val="nil"/>
              <w:right w:val="nil"/>
            </w:tcBorders>
            <w:tcMar>
              <w:top w:w="60" w:type="dxa"/>
              <w:left w:w="100" w:type="dxa"/>
              <w:bottom w:w="60" w:type="dxa"/>
              <w:right w:w="100" w:type="dxa"/>
            </w:tcMar>
          </w:tcPr>
          <w:p w14:paraId="758FC83B" w14:textId="77777777" w:rsidR="009D2FD2" w:rsidRDefault="00000000">
            <w:pPr>
              <w:pStyle w:val="Tablacelda"/>
              <w:jc w:val="right"/>
            </w:pPr>
            <w:r>
              <w:t>17,0 %</w:t>
            </w:r>
          </w:p>
        </w:tc>
        <w:tc>
          <w:tcPr>
            <w:tcW w:w="1100" w:type="dxa"/>
            <w:tcBorders>
              <w:top w:val="nil"/>
              <w:left w:val="nil"/>
              <w:bottom w:val="nil"/>
              <w:right w:val="nil"/>
            </w:tcBorders>
            <w:tcMar>
              <w:top w:w="60" w:type="dxa"/>
              <w:left w:w="100" w:type="dxa"/>
              <w:bottom w:w="60" w:type="dxa"/>
              <w:right w:w="100" w:type="dxa"/>
            </w:tcMar>
          </w:tcPr>
          <w:p w14:paraId="280178E5" w14:textId="77777777" w:rsidR="009D2FD2" w:rsidRDefault="00000000">
            <w:pPr>
              <w:pStyle w:val="Tablacelda"/>
              <w:jc w:val="right"/>
            </w:pPr>
            <w:r>
              <w:t>13,2 %</w:t>
            </w:r>
          </w:p>
        </w:tc>
        <w:tc>
          <w:tcPr>
            <w:tcW w:w="1100" w:type="dxa"/>
            <w:tcBorders>
              <w:top w:val="nil"/>
              <w:left w:val="nil"/>
              <w:bottom w:val="nil"/>
              <w:right w:val="nil"/>
            </w:tcBorders>
            <w:tcMar>
              <w:top w:w="60" w:type="dxa"/>
              <w:left w:w="100" w:type="dxa"/>
              <w:bottom w:w="60" w:type="dxa"/>
              <w:right w:w="100" w:type="dxa"/>
            </w:tcMar>
          </w:tcPr>
          <w:p w14:paraId="5B87AD99" w14:textId="77777777" w:rsidR="009D2FD2" w:rsidRDefault="00000000">
            <w:pPr>
              <w:pStyle w:val="Tablacelda"/>
              <w:jc w:val="right"/>
            </w:pPr>
            <w:r>
              <w:t>3,2 %</w:t>
            </w:r>
          </w:p>
        </w:tc>
        <w:tc>
          <w:tcPr>
            <w:tcW w:w="1100" w:type="dxa"/>
            <w:tcBorders>
              <w:top w:val="nil"/>
              <w:left w:val="nil"/>
              <w:bottom w:val="nil"/>
              <w:right w:val="nil"/>
            </w:tcBorders>
            <w:tcMar>
              <w:top w:w="60" w:type="dxa"/>
              <w:left w:w="100" w:type="dxa"/>
              <w:bottom w:w="60" w:type="dxa"/>
              <w:right w:w="100" w:type="dxa"/>
            </w:tcMar>
          </w:tcPr>
          <w:p w14:paraId="7F1BC090" w14:textId="77777777" w:rsidR="009D2FD2" w:rsidRDefault="00000000">
            <w:pPr>
              <w:pStyle w:val="Tablacelda"/>
              <w:jc w:val="right"/>
            </w:pPr>
            <w:r>
              <w:t>17,4 %</w:t>
            </w:r>
          </w:p>
        </w:tc>
        <w:tc>
          <w:tcPr>
            <w:tcW w:w="1100" w:type="dxa"/>
            <w:tcBorders>
              <w:top w:val="nil"/>
              <w:left w:val="nil"/>
              <w:bottom w:val="nil"/>
              <w:right w:val="nil"/>
            </w:tcBorders>
            <w:tcMar>
              <w:top w:w="60" w:type="dxa"/>
              <w:left w:w="100" w:type="dxa"/>
              <w:bottom w:w="60" w:type="dxa"/>
              <w:right w:w="100" w:type="dxa"/>
            </w:tcMar>
          </w:tcPr>
          <w:p w14:paraId="66B7496C" w14:textId="77777777" w:rsidR="009D2FD2" w:rsidRDefault="00000000">
            <w:pPr>
              <w:pStyle w:val="Tablacelda"/>
              <w:jc w:val="right"/>
            </w:pPr>
            <w:r>
              <w:t>13,5 %</w:t>
            </w:r>
          </w:p>
        </w:tc>
        <w:tc>
          <w:tcPr>
            <w:tcW w:w="1100" w:type="dxa"/>
            <w:tcBorders>
              <w:top w:val="nil"/>
              <w:left w:val="nil"/>
              <w:bottom w:val="nil"/>
              <w:right w:val="nil"/>
            </w:tcBorders>
            <w:tcMar>
              <w:top w:w="60" w:type="dxa"/>
              <w:left w:w="100" w:type="dxa"/>
              <w:bottom w:w="60" w:type="dxa"/>
              <w:right w:w="100" w:type="dxa"/>
            </w:tcMar>
          </w:tcPr>
          <w:p w14:paraId="2088B0D8" w14:textId="77777777" w:rsidR="009D2FD2" w:rsidRDefault="00000000">
            <w:pPr>
              <w:pStyle w:val="Tablacelda"/>
              <w:jc w:val="right"/>
            </w:pPr>
            <w:r>
              <w:t>3,3 %</w:t>
            </w:r>
          </w:p>
        </w:tc>
      </w:tr>
      <w:tr w:rsidR="009D2FD2" w14:paraId="079A988C" w14:textId="77777777">
        <w:tc>
          <w:tcPr>
            <w:tcW w:w="2760" w:type="dxa"/>
            <w:tcBorders>
              <w:top w:val="nil"/>
              <w:left w:val="nil"/>
              <w:bottom w:val="nil"/>
              <w:right w:val="nil"/>
            </w:tcBorders>
            <w:tcMar>
              <w:top w:w="60" w:type="dxa"/>
              <w:left w:w="100" w:type="dxa"/>
              <w:bottom w:w="60" w:type="dxa"/>
              <w:right w:w="100" w:type="dxa"/>
            </w:tcMar>
          </w:tcPr>
          <w:p w14:paraId="70BD0E0F" w14:textId="77777777" w:rsidR="009D2FD2" w:rsidRDefault="00000000">
            <w:pPr>
              <w:pStyle w:val="Tablacelda"/>
            </w:pPr>
            <w:r>
              <w:t>Desde el año 6: percentil 99</w:t>
            </w:r>
          </w:p>
        </w:tc>
        <w:tc>
          <w:tcPr>
            <w:tcW w:w="1100" w:type="dxa"/>
            <w:tcBorders>
              <w:top w:val="nil"/>
              <w:left w:val="nil"/>
              <w:bottom w:val="nil"/>
              <w:right w:val="nil"/>
            </w:tcBorders>
            <w:tcMar>
              <w:top w:w="60" w:type="dxa"/>
              <w:left w:w="100" w:type="dxa"/>
              <w:bottom w:w="60" w:type="dxa"/>
              <w:right w:w="100" w:type="dxa"/>
            </w:tcMar>
          </w:tcPr>
          <w:p w14:paraId="1FD1380F" w14:textId="77777777" w:rsidR="009D2FD2" w:rsidRDefault="00000000">
            <w:pPr>
              <w:pStyle w:val="Tablacelda"/>
              <w:jc w:val="right"/>
            </w:pPr>
            <w:r>
              <w:t>52,8 %</w:t>
            </w:r>
          </w:p>
        </w:tc>
        <w:tc>
          <w:tcPr>
            <w:tcW w:w="1100" w:type="dxa"/>
            <w:tcBorders>
              <w:top w:val="nil"/>
              <w:left w:val="nil"/>
              <w:bottom w:val="nil"/>
              <w:right w:val="nil"/>
            </w:tcBorders>
            <w:tcMar>
              <w:top w:w="60" w:type="dxa"/>
              <w:left w:w="100" w:type="dxa"/>
              <w:bottom w:w="60" w:type="dxa"/>
              <w:right w:w="100" w:type="dxa"/>
            </w:tcMar>
          </w:tcPr>
          <w:p w14:paraId="38604C6D" w14:textId="77777777" w:rsidR="009D2FD2" w:rsidRDefault="00000000">
            <w:pPr>
              <w:pStyle w:val="Tablacelda"/>
              <w:jc w:val="right"/>
            </w:pPr>
            <w:r>
              <w:t>46,0 %</w:t>
            </w:r>
          </w:p>
        </w:tc>
        <w:tc>
          <w:tcPr>
            <w:tcW w:w="1100" w:type="dxa"/>
            <w:tcBorders>
              <w:top w:val="nil"/>
              <w:left w:val="nil"/>
              <w:bottom w:val="nil"/>
              <w:right w:val="nil"/>
            </w:tcBorders>
            <w:tcMar>
              <w:top w:w="60" w:type="dxa"/>
              <w:left w:w="100" w:type="dxa"/>
              <w:bottom w:w="60" w:type="dxa"/>
              <w:right w:w="100" w:type="dxa"/>
            </w:tcMar>
          </w:tcPr>
          <w:p w14:paraId="6160B52E" w14:textId="77777777" w:rsidR="009D2FD2" w:rsidRDefault="00000000">
            <w:pPr>
              <w:pStyle w:val="Tablacelda"/>
              <w:jc w:val="right"/>
            </w:pPr>
            <w:r>
              <w:t>25,9 %</w:t>
            </w:r>
          </w:p>
        </w:tc>
        <w:tc>
          <w:tcPr>
            <w:tcW w:w="1100" w:type="dxa"/>
            <w:tcBorders>
              <w:top w:val="nil"/>
              <w:left w:val="nil"/>
              <w:bottom w:val="nil"/>
              <w:right w:val="nil"/>
            </w:tcBorders>
            <w:tcMar>
              <w:top w:w="60" w:type="dxa"/>
              <w:left w:w="100" w:type="dxa"/>
              <w:bottom w:w="60" w:type="dxa"/>
              <w:right w:w="100" w:type="dxa"/>
            </w:tcMar>
          </w:tcPr>
          <w:p w14:paraId="56139FC5" w14:textId="77777777" w:rsidR="009D2FD2" w:rsidRDefault="00000000">
            <w:pPr>
              <w:pStyle w:val="Tablacelda"/>
              <w:jc w:val="right"/>
            </w:pPr>
            <w:r>
              <w:t>54,1 %</w:t>
            </w:r>
          </w:p>
        </w:tc>
        <w:tc>
          <w:tcPr>
            <w:tcW w:w="1100" w:type="dxa"/>
            <w:tcBorders>
              <w:top w:val="nil"/>
              <w:left w:val="nil"/>
              <w:bottom w:val="nil"/>
              <w:right w:val="nil"/>
            </w:tcBorders>
            <w:tcMar>
              <w:top w:w="60" w:type="dxa"/>
              <w:left w:w="100" w:type="dxa"/>
              <w:bottom w:w="60" w:type="dxa"/>
              <w:right w:w="100" w:type="dxa"/>
            </w:tcMar>
          </w:tcPr>
          <w:p w14:paraId="49E51E49" w14:textId="77777777" w:rsidR="009D2FD2" w:rsidRDefault="00000000">
            <w:pPr>
              <w:pStyle w:val="Tablacelda"/>
              <w:jc w:val="right"/>
            </w:pPr>
            <w:r>
              <w:t>47,3 %</w:t>
            </w:r>
          </w:p>
        </w:tc>
        <w:tc>
          <w:tcPr>
            <w:tcW w:w="1100" w:type="dxa"/>
            <w:tcBorders>
              <w:top w:val="nil"/>
              <w:left w:val="nil"/>
              <w:bottom w:val="nil"/>
              <w:right w:val="nil"/>
            </w:tcBorders>
            <w:tcMar>
              <w:top w:w="60" w:type="dxa"/>
              <w:left w:w="100" w:type="dxa"/>
              <w:bottom w:w="60" w:type="dxa"/>
              <w:right w:w="100" w:type="dxa"/>
            </w:tcMar>
          </w:tcPr>
          <w:p w14:paraId="75C7A890" w14:textId="77777777" w:rsidR="009D2FD2" w:rsidRDefault="00000000">
            <w:pPr>
              <w:pStyle w:val="Tablacelda"/>
              <w:jc w:val="right"/>
            </w:pPr>
            <w:r>
              <w:t>26,2 %</w:t>
            </w:r>
          </w:p>
        </w:tc>
      </w:tr>
      <w:tr w:rsidR="009D2FD2" w14:paraId="21BF315F" w14:textId="77777777">
        <w:tc>
          <w:tcPr>
            <w:tcW w:w="2760" w:type="dxa"/>
            <w:tcBorders>
              <w:top w:val="nil"/>
              <w:left w:val="nil"/>
              <w:bottom w:val="single" w:sz="8" w:space="0" w:color="000000"/>
              <w:right w:val="nil"/>
            </w:tcBorders>
            <w:tcMar>
              <w:top w:w="60" w:type="dxa"/>
              <w:left w:w="100" w:type="dxa"/>
              <w:bottom w:w="60" w:type="dxa"/>
              <w:right w:w="100" w:type="dxa"/>
            </w:tcMar>
          </w:tcPr>
          <w:p w14:paraId="50DAECA1" w14:textId="77777777" w:rsidR="009D2FD2" w:rsidRDefault="00000000">
            <w:pPr>
              <w:pStyle w:val="Tablacelda"/>
            </w:pPr>
            <w:r>
              <w:t>Desviación anual vs presupuesto (desv. est.)</w:t>
            </w:r>
          </w:p>
        </w:tc>
        <w:tc>
          <w:tcPr>
            <w:tcW w:w="1100" w:type="dxa"/>
            <w:tcBorders>
              <w:top w:val="nil"/>
              <w:left w:val="nil"/>
              <w:bottom w:val="single" w:sz="8" w:space="0" w:color="000000"/>
              <w:right w:val="nil"/>
            </w:tcBorders>
            <w:tcMar>
              <w:top w:w="60" w:type="dxa"/>
              <w:left w:w="100" w:type="dxa"/>
              <w:bottom w:w="60" w:type="dxa"/>
              <w:right w:w="100" w:type="dxa"/>
            </w:tcMar>
          </w:tcPr>
          <w:p w14:paraId="79B4B80C" w14:textId="77777777" w:rsidR="009D2FD2" w:rsidRDefault="00000000">
            <w:pPr>
              <w:pStyle w:val="Tablacelda"/>
              <w:jc w:val="right"/>
            </w:pPr>
            <w:r>
              <w:t>8,5 %</w:t>
            </w:r>
          </w:p>
        </w:tc>
        <w:tc>
          <w:tcPr>
            <w:tcW w:w="1100" w:type="dxa"/>
            <w:tcBorders>
              <w:top w:val="nil"/>
              <w:left w:val="nil"/>
              <w:bottom w:val="single" w:sz="8" w:space="0" w:color="000000"/>
              <w:right w:val="nil"/>
            </w:tcBorders>
            <w:tcMar>
              <w:top w:w="60" w:type="dxa"/>
              <w:left w:w="100" w:type="dxa"/>
              <w:bottom w:w="60" w:type="dxa"/>
              <w:right w:w="100" w:type="dxa"/>
            </w:tcMar>
          </w:tcPr>
          <w:p w14:paraId="2505A337" w14:textId="77777777" w:rsidR="009D2FD2" w:rsidRDefault="00000000">
            <w:pPr>
              <w:pStyle w:val="Tablacelda"/>
              <w:jc w:val="right"/>
            </w:pPr>
            <w:r>
              <w:t>3,8 %</w:t>
            </w:r>
          </w:p>
        </w:tc>
        <w:tc>
          <w:tcPr>
            <w:tcW w:w="1100" w:type="dxa"/>
            <w:tcBorders>
              <w:top w:val="nil"/>
              <w:left w:val="nil"/>
              <w:bottom w:val="single" w:sz="8" w:space="0" w:color="000000"/>
              <w:right w:val="nil"/>
            </w:tcBorders>
            <w:tcMar>
              <w:top w:w="60" w:type="dxa"/>
              <w:left w:w="100" w:type="dxa"/>
              <w:bottom w:w="60" w:type="dxa"/>
              <w:right w:w="100" w:type="dxa"/>
            </w:tcMar>
          </w:tcPr>
          <w:p w14:paraId="64533C63" w14:textId="77777777" w:rsidR="009D2FD2" w:rsidRDefault="00000000">
            <w:pPr>
              <w:pStyle w:val="Tablacelda"/>
              <w:jc w:val="right"/>
            </w:pPr>
            <w:r>
              <w:t>—</w:t>
            </w:r>
          </w:p>
        </w:tc>
        <w:tc>
          <w:tcPr>
            <w:tcW w:w="1100" w:type="dxa"/>
            <w:tcBorders>
              <w:top w:val="nil"/>
              <w:left w:val="nil"/>
              <w:bottom w:val="single" w:sz="8" w:space="0" w:color="000000"/>
              <w:right w:val="nil"/>
            </w:tcBorders>
            <w:tcMar>
              <w:top w:w="60" w:type="dxa"/>
              <w:left w:w="100" w:type="dxa"/>
              <w:bottom w:w="60" w:type="dxa"/>
              <w:right w:w="100" w:type="dxa"/>
            </w:tcMar>
          </w:tcPr>
          <w:p w14:paraId="68407FC6" w14:textId="77777777" w:rsidR="009D2FD2" w:rsidRDefault="00000000">
            <w:pPr>
              <w:pStyle w:val="Tablacelda"/>
              <w:jc w:val="right"/>
            </w:pPr>
            <w:r>
              <w:t>8,6 %</w:t>
            </w:r>
          </w:p>
        </w:tc>
        <w:tc>
          <w:tcPr>
            <w:tcW w:w="1100" w:type="dxa"/>
            <w:tcBorders>
              <w:top w:val="nil"/>
              <w:left w:val="nil"/>
              <w:bottom w:val="single" w:sz="8" w:space="0" w:color="000000"/>
              <w:right w:val="nil"/>
            </w:tcBorders>
            <w:tcMar>
              <w:top w:w="60" w:type="dxa"/>
              <w:left w:w="100" w:type="dxa"/>
              <w:bottom w:w="60" w:type="dxa"/>
              <w:right w:w="100" w:type="dxa"/>
            </w:tcMar>
          </w:tcPr>
          <w:p w14:paraId="0D72B8A8" w14:textId="77777777" w:rsidR="009D2FD2" w:rsidRDefault="00000000">
            <w:pPr>
              <w:pStyle w:val="Tablacelda"/>
              <w:jc w:val="right"/>
            </w:pPr>
            <w:r>
              <w:t>3,8 %</w:t>
            </w:r>
          </w:p>
        </w:tc>
        <w:tc>
          <w:tcPr>
            <w:tcW w:w="1100" w:type="dxa"/>
            <w:tcBorders>
              <w:top w:val="nil"/>
              <w:left w:val="nil"/>
              <w:bottom w:val="single" w:sz="8" w:space="0" w:color="000000"/>
              <w:right w:val="nil"/>
            </w:tcBorders>
            <w:tcMar>
              <w:top w:w="60" w:type="dxa"/>
              <w:left w:w="100" w:type="dxa"/>
              <w:bottom w:w="60" w:type="dxa"/>
              <w:right w:w="100" w:type="dxa"/>
            </w:tcMar>
          </w:tcPr>
          <w:p w14:paraId="0522C3D3" w14:textId="77777777" w:rsidR="009D2FD2" w:rsidRDefault="00000000">
            <w:pPr>
              <w:pStyle w:val="Tablacelda"/>
              <w:jc w:val="right"/>
            </w:pPr>
            <w:r>
              <w:t>—</w:t>
            </w:r>
          </w:p>
        </w:tc>
      </w:tr>
    </w:tbl>
    <w:p w14:paraId="3ED5DA6F" w14:textId="77777777" w:rsidR="009D2FD2" w:rsidRPr="00176BC0" w:rsidRDefault="00000000">
      <w:pPr>
        <w:pStyle w:val="Nota"/>
      </w:pPr>
      <w:r>
        <w:rPr>
          <w:i/>
          <w:iCs/>
        </w:rPr>
        <w:t xml:space="preserve">Nota. </w:t>
      </w:r>
      <w:r>
        <w:t>«Rodante»: Forward se renueva año a año. «Strip»: variante con los cuatro precios fijados al final del año 6.».</w:t>
      </w:r>
    </w:p>
    <w:p w14:paraId="2D29B4C2" w14:textId="77777777" w:rsidR="009D2FD2" w:rsidRDefault="00000000">
      <w:pPr>
        <w:pStyle w:val="TtuloAPAnivel2"/>
      </w:pPr>
      <w:r>
        <w:t>Evaluación de la estrategia</w:t>
      </w:r>
    </w:p>
    <w:p w14:paraId="3408478D" w14:textId="77777777" w:rsidR="00527B3F" w:rsidRDefault="00000000">
      <w:pPr>
        <w:pStyle w:val="TtuloAPAnivel3"/>
      </w:pPr>
      <w:r>
        <w:t xml:space="preserve">Costo y conveniencia financiera. </w:t>
      </w:r>
    </w:p>
    <w:p w14:paraId="3CADB43B" w14:textId="77777777" w:rsidR="009D2FD2" w:rsidRDefault="00000000">
      <w:r>
        <w:t>La cobertura no es gratis. Con la prima de mercado, los forwards cuestan en promedio COP 13,3 millones, un 1,7 % del costo total del crédito, y el costo efectivo en pesos sube de 17,4 % a 17,7 % anual. En 82 % de las trayectorias la cobertura completa termina costando más que no cubrirse. IS se mide solo por el costo esperado la estrategia no es conveniente, pero esa no es el único factor relevante, porque su función al final del dia es reducir el riesgo.</w:t>
      </w:r>
    </w:p>
    <w:p w14:paraId="6EE80443" w14:textId="77777777" w:rsidR="00527B3F" w:rsidRDefault="00000000">
      <w:pPr>
        <w:pStyle w:val="TtuloAPAnivel3"/>
      </w:pPr>
      <w:r>
        <w:t xml:space="preserve">Reducción de volatilidad. </w:t>
      </w:r>
    </w:p>
    <w:p w14:paraId="55F86D75" w14:textId="77777777" w:rsidR="009D2FD2" w:rsidRDefault="00000000">
      <w:r>
        <w:t xml:space="preserve">La reducción depende del momento desde el que se mida. Vista desde hoy, la desviación estándar del costo total casi no cambia, porque la cobertura empieza en el año 7 y no protege los seis primeros años. Vista desde el año 6, cuando se toma la decisión, la desviación del costo de </w:t>
      </w:r>
      <w:r>
        <w:lastRenderedPageBreak/>
        <w:t>los años 7 a 10 baja de 17,0 % a 13,2 %. Dentro de cada año el efecto es mucho mayor: la desviación del costo frente a su presupuesto cae de 8,5 % a 3,8 %.</w:t>
      </w:r>
    </w:p>
    <w:p w14:paraId="368C09BB" w14:textId="77777777" w:rsidR="00527B3F" w:rsidRDefault="00000000">
      <w:pPr>
        <w:pStyle w:val="TtuloAPAnivel3"/>
      </w:pPr>
      <w:r>
        <w:t xml:space="preserve">Estabilidad presupuestal. </w:t>
      </w:r>
    </w:p>
    <w:p w14:paraId="355E17D0" w14:textId="77777777" w:rsidR="009D2FD2" w:rsidRDefault="00000000">
      <w:r>
        <w:t>Una vez pactado cada forward, el costo del año es casi cierto: la probabilidad de superar el presupuesto en más de 10 % cae de 3,8 % a 0,07 %. Esta la principal ventaja de la estrategia pues da una certeza de cuanto se terminará pagando.</w:t>
      </w:r>
    </w:p>
    <w:p w14:paraId="75C447F9" w14:textId="77777777" w:rsidR="00527B3F" w:rsidRDefault="00000000">
      <w:pPr>
        <w:pStyle w:val="TtuloAPAnivel3"/>
      </w:pPr>
      <w:r>
        <w:t xml:space="preserve">Riesgo residual. </w:t>
      </w:r>
    </w:p>
    <w:p w14:paraId="060A0B41" w14:textId="77777777" w:rsidR="009D2FD2" w:rsidRDefault="00000000">
      <w:r>
        <w:t>Persisten un par de fuentes de riesgo: el 25 % que queda sin cubrir, y sobre todo el riesgo de renovación, porque cada forward se pacta con la TRM del momento. Por eso, en el peor caso, el sobrecosto de los años 7 a 10 visto desde el año 6 solo baja de 52,8 % a 46,0 %. El strip(hacer todos los fowards desde finales del año 6) reduciría ese riesgo a 25,9 %, pero a un costo esperado casi tres veces mayor (COP 35,7 millones).</w:t>
      </w:r>
    </w:p>
    <w:p w14:paraId="4A5E7063" w14:textId="77777777" w:rsidR="00527B3F" w:rsidRDefault="00000000">
      <w:pPr>
        <w:pStyle w:val="TtuloAPAnivel3"/>
      </w:pPr>
      <w:r>
        <w:t xml:space="preserve">Costo de oportunidad. </w:t>
      </w:r>
    </w:p>
    <w:p w14:paraId="240A7383" w14:textId="77777777" w:rsidR="009D2FD2" w:rsidRDefault="00000000">
      <w:r>
        <w:t>En dos de cada tres años el forward se liquida en contra. Ese pago es el precio de un seguro y no indica que la cobertura haya fallado, en esos mismos años el costo quedó dentro del presupuesto.</w:t>
      </w:r>
    </w:p>
    <w:p w14:paraId="3FFE317F" w14:textId="77777777" w:rsidR="00527B3F" w:rsidRDefault="00000000">
      <w:pPr>
        <w:pStyle w:val="TtuloAPAnivel3"/>
      </w:pPr>
      <w:r>
        <w:t xml:space="preserve">Coherencia entre nominal y obligación. </w:t>
      </w:r>
    </w:p>
    <w:p w14:paraId="15BDA4DD" w14:textId="77777777" w:rsidR="009D2FD2" w:rsidRPr="00527B3F" w:rsidRDefault="00000000">
      <w:pPr>
        <w:rPr>
          <w:b/>
          <w:bCs/>
        </w:rPr>
      </w:pPr>
      <w:r>
        <w:t>El nominal de cada forward (USD 15.318) es menor que los pagos de su año (USD 20.424), y el total cubierto es menor que la obligación pendiente y que el saldo de capital. Pactar los forwards uno por año, y no todos al inicio, también reduce el riesgo de quedar sobre cubierto.</w:t>
      </w:r>
    </w:p>
    <w:p w14:paraId="276A6FF4" w14:textId="77777777" w:rsidR="009D2FD2" w:rsidRDefault="00000000">
      <w:r>
        <w:rPr>
          <w:b/>
          <w:bCs/>
        </w:rPr>
        <w:t xml:space="preserve">Sensibilidad a las tasas de interés. </w:t>
      </w:r>
      <w:r>
        <w:t xml:space="preserve">El resultado depende sobre todo del diferencial de tasas que exista en los años 7 a 10, que hoy no se conoce. La siguiente tabla mantiene las mismas </w:t>
      </w:r>
      <w:r>
        <w:lastRenderedPageBreak/>
        <w:t>trayectorias de la TRM y cambia solo la tasa en pesos con la que se pactan los forwards (tasa en dólares de 4,47 %):</w:t>
      </w:r>
    </w:p>
    <w:p w14:paraId="3955A9ED" w14:textId="77777777" w:rsidR="00D20524" w:rsidRDefault="00000000">
      <w:pPr>
        <w:pStyle w:val="Rtulotablaofigura"/>
      </w:pPr>
      <w:r>
        <w:rPr>
          <w:b/>
          <w:bCs/>
        </w:rPr>
        <w:t>Tabla 18</w:t>
      </w:r>
    </w:p>
    <w:p w14:paraId="2664AB1D" w14:textId="77777777" w:rsidR="00D20524" w:rsidRDefault="00000000">
      <w:pPr>
        <w:pStyle w:val="Ttulotablaofigura"/>
      </w:pPr>
      <w:r>
        <w:t>Sensibilidad de la cobertura a la tasa de interés en pesos</w:t>
      </w:r>
    </w:p>
    <w:tbl>
      <w:tblPr>
        <w:tblW w:w="936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1500"/>
        <w:gridCol w:w="1200"/>
        <w:gridCol w:w="1400"/>
        <w:gridCol w:w="1900"/>
        <w:gridCol w:w="1700"/>
        <w:gridCol w:w="1660"/>
      </w:tblGrid>
      <w:tr w:rsidR="009D2FD2" w14:paraId="498444EA" w14:textId="77777777">
        <w:trPr>
          <w:tblHeader/>
        </w:trPr>
        <w:tc>
          <w:tcPr>
            <w:tcW w:w="15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F052BFB" w14:textId="77777777" w:rsidR="009D2FD2" w:rsidRDefault="00000000">
            <w:pPr>
              <w:pStyle w:val="Tablacelda"/>
            </w:pPr>
            <w:r>
              <w:rPr>
                <w:b/>
                <w:bCs/>
              </w:rPr>
              <w:t>i_COP</w:t>
            </w:r>
          </w:p>
        </w:tc>
        <w:tc>
          <w:tcPr>
            <w:tcW w:w="12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04754216" w14:textId="77777777" w:rsidR="009D2FD2" w:rsidRDefault="00000000">
            <w:pPr>
              <w:pStyle w:val="Tablacelda"/>
              <w:jc w:val="right"/>
            </w:pPr>
            <w:r>
              <w:rPr>
                <w:b/>
                <w:bCs/>
              </w:rPr>
              <w:t>Prima forward</w:t>
            </w:r>
          </w:p>
        </w:tc>
        <w:tc>
          <w:tcPr>
            <w:tcW w:w="14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2174E9E3" w14:textId="77777777" w:rsidR="009D2FD2" w:rsidRDefault="00000000">
            <w:pPr>
              <w:pStyle w:val="Tablacelda"/>
              <w:jc w:val="right"/>
            </w:pPr>
            <w:r>
              <w:rPr>
                <w:b/>
                <w:bCs/>
              </w:rPr>
              <w:t>Prob. de protección</w:t>
            </w:r>
          </w:p>
        </w:tc>
        <w:tc>
          <w:tcPr>
            <w:tcW w:w="19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1D3D5D2B" w14:textId="77777777" w:rsidR="009D2FD2" w:rsidRDefault="00000000">
            <w:pPr>
              <w:pStyle w:val="Tablacelda"/>
              <w:jc w:val="right"/>
            </w:pPr>
            <w:r>
              <w:rPr>
                <w:b/>
                <w:bCs/>
              </w:rPr>
              <w:t>Resultado medio de los forwards (COP millones)</w:t>
            </w:r>
          </w:p>
        </w:tc>
        <w:tc>
          <w:tcPr>
            <w:tcW w:w="170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562BFAD5" w14:textId="77777777" w:rsidR="009D2FD2" w:rsidRDefault="00000000">
            <w:pPr>
              <w:pStyle w:val="Tablacelda"/>
              <w:jc w:val="right"/>
            </w:pPr>
            <w:r>
              <w:rPr>
                <w:b/>
                <w:bCs/>
              </w:rPr>
              <w:t>Prob. de que la cobertura cueste más</w:t>
            </w:r>
          </w:p>
        </w:tc>
        <w:tc>
          <w:tcPr>
            <w:tcW w:w="1660" w:type="dxa"/>
            <w:tcBorders>
              <w:top w:val="single" w:sz="8" w:space="0" w:color="000000"/>
              <w:left w:val="nil"/>
              <w:bottom w:val="single" w:sz="8" w:space="0" w:color="000000"/>
              <w:right w:val="nil"/>
            </w:tcBorders>
            <w:shd w:val="clear" w:color="auto" w:fill="E7E6E6" w:themeFill="background2"/>
            <w:tcMar>
              <w:top w:w="60" w:type="dxa"/>
              <w:left w:w="100" w:type="dxa"/>
              <w:bottom w:w="60" w:type="dxa"/>
              <w:right w:w="100" w:type="dxa"/>
            </w:tcMar>
          </w:tcPr>
          <w:p w14:paraId="7042B0C4" w14:textId="77777777" w:rsidR="009D2FD2" w:rsidRDefault="00000000">
            <w:pPr>
              <w:pStyle w:val="Tablacelda"/>
              <w:jc w:val="right"/>
            </w:pPr>
            <w:r>
              <w:rPr>
                <w:b/>
                <w:bCs/>
              </w:rPr>
              <w:t>Resultado medio del strip (COP millones)</w:t>
            </w:r>
          </w:p>
        </w:tc>
      </w:tr>
      <w:tr w:rsidR="009D2FD2" w14:paraId="0E0FA699" w14:textId="77777777">
        <w:tc>
          <w:tcPr>
            <w:tcW w:w="1500" w:type="dxa"/>
            <w:tcBorders>
              <w:top w:val="nil"/>
              <w:left w:val="nil"/>
              <w:bottom w:val="nil"/>
              <w:right w:val="nil"/>
            </w:tcBorders>
            <w:tcMar>
              <w:top w:w="60" w:type="dxa"/>
              <w:left w:w="100" w:type="dxa"/>
              <w:bottom w:w="60" w:type="dxa"/>
              <w:right w:w="100" w:type="dxa"/>
            </w:tcMar>
          </w:tcPr>
          <w:p w14:paraId="7254ACA2" w14:textId="77777777" w:rsidR="009D2FD2" w:rsidRDefault="00000000">
            <w:pPr>
              <w:pStyle w:val="Tablacelda"/>
            </w:pPr>
            <w:r>
              <w:t>6,00 %</w:t>
            </w:r>
          </w:p>
        </w:tc>
        <w:tc>
          <w:tcPr>
            <w:tcW w:w="1200" w:type="dxa"/>
            <w:tcBorders>
              <w:top w:val="nil"/>
              <w:left w:val="nil"/>
              <w:bottom w:val="nil"/>
              <w:right w:val="nil"/>
            </w:tcBorders>
            <w:tcMar>
              <w:top w:w="60" w:type="dxa"/>
              <w:left w:w="100" w:type="dxa"/>
              <w:bottom w:w="60" w:type="dxa"/>
              <w:right w:w="100" w:type="dxa"/>
            </w:tcMar>
          </w:tcPr>
          <w:p w14:paraId="356FA4B5" w14:textId="77777777" w:rsidR="009D2FD2" w:rsidRDefault="00000000">
            <w:pPr>
              <w:pStyle w:val="Tablacelda"/>
              <w:jc w:val="right"/>
            </w:pPr>
            <w:r>
              <w:t>1,5 %</w:t>
            </w:r>
          </w:p>
        </w:tc>
        <w:tc>
          <w:tcPr>
            <w:tcW w:w="1400" w:type="dxa"/>
            <w:tcBorders>
              <w:top w:val="nil"/>
              <w:left w:val="nil"/>
              <w:bottom w:val="nil"/>
              <w:right w:val="nil"/>
            </w:tcBorders>
            <w:tcMar>
              <w:top w:w="60" w:type="dxa"/>
              <w:left w:w="100" w:type="dxa"/>
              <w:bottom w:w="60" w:type="dxa"/>
              <w:right w:w="100" w:type="dxa"/>
            </w:tcMar>
          </w:tcPr>
          <w:p w14:paraId="170E964A" w14:textId="77777777" w:rsidR="009D2FD2" w:rsidRDefault="00000000">
            <w:pPr>
              <w:pStyle w:val="Tablacelda"/>
              <w:jc w:val="right"/>
            </w:pPr>
            <w:r>
              <w:t>51,2 %</w:t>
            </w:r>
          </w:p>
        </w:tc>
        <w:tc>
          <w:tcPr>
            <w:tcW w:w="1900" w:type="dxa"/>
            <w:tcBorders>
              <w:top w:val="nil"/>
              <w:left w:val="nil"/>
              <w:bottom w:val="nil"/>
              <w:right w:val="nil"/>
            </w:tcBorders>
            <w:tcMar>
              <w:top w:w="60" w:type="dxa"/>
              <w:left w:w="100" w:type="dxa"/>
              <w:bottom w:w="60" w:type="dxa"/>
              <w:right w:w="100" w:type="dxa"/>
            </w:tcMar>
          </w:tcPr>
          <w:p w14:paraId="25A842E4" w14:textId="77777777" w:rsidR="009D2FD2" w:rsidRDefault="00000000">
            <w:pPr>
              <w:pStyle w:val="Tablacelda"/>
              <w:jc w:val="right"/>
            </w:pPr>
            <w:r>
              <w:t>+3,3</w:t>
            </w:r>
          </w:p>
        </w:tc>
        <w:tc>
          <w:tcPr>
            <w:tcW w:w="1700" w:type="dxa"/>
            <w:tcBorders>
              <w:top w:val="nil"/>
              <w:left w:val="nil"/>
              <w:bottom w:val="nil"/>
              <w:right w:val="nil"/>
            </w:tcBorders>
            <w:tcMar>
              <w:top w:w="60" w:type="dxa"/>
              <w:left w:w="100" w:type="dxa"/>
              <w:bottom w:w="60" w:type="dxa"/>
              <w:right w:w="100" w:type="dxa"/>
            </w:tcMar>
          </w:tcPr>
          <w:p w14:paraId="431AEC89" w14:textId="77777777" w:rsidR="009D2FD2" w:rsidRDefault="00000000">
            <w:pPr>
              <w:pStyle w:val="Tablacelda"/>
              <w:jc w:val="right"/>
            </w:pPr>
            <w:r>
              <w:t>47,6 %</w:t>
            </w:r>
          </w:p>
        </w:tc>
        <w:tc>
          <w:tcPr>
            <w:tcW w:w="1660" w:type="dxa"/>
            <w:tcBorders>
              <w:top w:val="nil"/>
              <w:left w:val="nil"/>
              <w:bottom w:val="nil"/>
              <w:right w:val="nil"/>
            </w:tcBorders>
            <w:tcMar>
              <w:top w:w="60" w:type="dxa"/>
              <w:left w:w="100" w:type="dxa"/>
              <w:bottom w:w="60" w:type="dxa"/>
              <w:right w:w="100" w:type="dxa"/>
            </w:tcMar>
          </w:tcPr>
          <w:p w14:paraId="7AF11716" w14:textId="77777777" w:rsidR="009D2FD2" w:rsidRDefault="00000000">
            <w:pPr>
              <w:pStyle w:val="Tablacelda"/>
              <w:jc w:val="right"/>
            </w:pPr>
            <w:r>
              <w:t>+8,0</w:t>
            </w:r>
          </w:p>
        </w:tc>
      </w:tr>
      <w:tr w:rsidR="009D2FD2" w14:paraId="1368AB6E" w14:textId="77777777">
        <w:tc>
          <w:tcPr>
            <w:tcW w:w="1500" w:type="dxa"/>
            <w:tcBorders>
              <w:top w:val="nil"/>
              <w:left w:val="nil"/>
              <w:bottom w:val="nil"/>
              <w:right w:val="nil"/>
            </w:tcBorders>
            <w:tcMar>
              <w:top w:w="60" w:type="dxa"/>
              <w:left w:w="100" w:type="dxa"/>
              <w:bottom w:w="60" w:type="dxa"/>
              <w:right w:w="100" w:type="dxa"/>
            </w:tcMar>
          </w:tcPr>
          <w:p w14:paraId="0976FBF3" w14:textId="77777777" w:rsidR="009D2FD2" w:rsidRDefault="00000000">
            <w:pPr>
              <w:pStyle w:val="Tablacelda"/>
            </w:pPr>
            <w:r>
              <w:t>8,00 %</w:t>
            </w:r>
          </w:p>
        </w:tc>
        <w:tc>
          <w:tcPr>
            <w:tcW w:w="1200" w:type="dxa"/>
            <w:tcBorders>
              <w:top w:val="nil"/>
              <w:left w:val="nil"/>
              <w:bottom w:val="nil"/>
              <w:right w:val="nil"/>
            </w:tcBorders>
            <w:tcMar>
              <w:top w:w="60" w:type="dxa"/>
              <w:left w:w="100" w:type="dxa"/>
              <w:bottom w:w="60" w:type="dxa"/>
              <w:right w:w="100" w:type="dxa"/>
            </w:tcMar>
          </w:tcPr>
          <w:p w14:paraId="34AC4DE1" w14:textId="77777777" w:rsidR="009D2FD2" w:rsidRDefault="00000000">
            <w:pPr>
              <w:pStyle w:val="Tablacelda"/>
              <w:jc w:val="right"/>
            </w:pPr>
            <w:r>
              <w:t>3,4 %</w:t>
            </w:r>
          </w:p>
        </w:tc>
        <w:tc>
          <w:tcPr>
            <w:tcW w:w="1400" w:type="dxa"/>
            <w:tcBorders>
              <w:top w:val="nil"/>
              <w:left w:val="nil"/>
              <w:bottom w:val="nil"/>
              <w:right w:val="nil"/>
            </w:tcBorders>
            <w:tcMar>
              <w:top w:w="60" w:type="dxa"/>
              <w:left w:w="100" w:type="dxa"/>
              <w:bottom w:w="60" w:type="dxa"/>
              <w:right w:w="100" w:type="dxa"/>
            </w:tcMar>
          </w:tcPr>
          <w:p w14:paraId="513477D8" w14:textId="77777777" w:rsidR="009D2FD2" w:rsidRDefault="00000000">
            <w:pPr>
              <w:pStyle w:val="Tablacelda"/>
              <w:jc w:val="right"/>
            </w:pPr>
            <w:r>
              <w:t>45,5 %</w:t>
            </w:r>
          </w:p>
        </w:tc>
        <w:tc>
          <w:tcPr>
            <w:tcW w:w="1900" w:type="dxa"/>
            <w:tcBorders>
              <w:top w:val="nil"/>
              <w:left w:val="nil"/>
              <w:bottom w:val="nil"/>
              <w:right w:val="nil"/>
            </w:tcBorders>
            <w:tcMar>
              <w:top w:w="60" w:type="dxa"/>
              <w:left w:w="100" w:type="dxa"/>
              <w:bottom w:w="60" w:type="dxa"/>
              <w:right w:w="100" w:type="dxa"/>
            </w:tcMar>
          </w:tcPr>
          <w:p w14:paraId="64E681C4" w14:textId="77777777" w:rsidR="009D2FD2" w:rsidRDefault="00000000">
            <w:pPr>
              <w:pStyle w:val="Tablacelda"/>
              <w:jc w:val="right"/>
            </w:pPr>
            <w:r>
              <w:t>−1,5</w:t>
            </w:r>
          </w:p>
        </w:tc>
        <w:tc>
          <w:tcPr>
            <w:tcW w:w="1700" w:type="dxa"/>
            <w:tcBorders>
              <w:top w:val="nil"/>
              <w:left w:val="nil"/>
              <w:bottom w:val="nil"/>
              <w:right w:val="nil"/>
            </w:tcBorders>
            <w:tcMar>
              <w:top w:w="60" w:type="dxa"/>
              <w:left w:w="100" w:type="dxa"/>
              <w:bottom w:w="60" w:type="dxa"/>
              <w:right w:w="100" w:type="dxa"/>
            </w:tcMar>
          </w:tcPr>
          <w:p w14:paraId="7A0D3668" w14:textId="77777777" w:rsidR="009D2FD2" w:rsidRDefault="00000000">
            <w:pPr>
              <w:pStyle w:val="Tablacelda"/>
              <w:jc w:val="right"/>
            </w:pPr>
            <w:r>
              <w:t>58,9 %</w:t>
            </w:r>
          </w:p>
        </w:tc>
        <w:tc>
          <w:tcPr>
            <w:tcW w:w="1660" w:type="dxa"/>
            <w:tcBorders>
              <w:top w:val="nil"/>
              <w:left w:val="nil"/>
              <w:bottom w:val="nil"/>
              <w:right w:val="nil"/>
            </w:tcBorders>
            <w:tcMar>
              <w:top w:w="60" w:type="dxa"/>
              <w:left w:w="100" w:type="dxa"/>
              <w:bottom w:w="60" w:type="dxa"/>
              <w:right w:w="100" w:type="dxa"/>
            </w:tcMar>
          </w:tcPr>
          <w:p w14:paraId="67ED3DCC" w14:textId="77777777" w:rsidR="009D2FD2" w:rsidRDefault="00000000">
            <w:pPr>
              <w:pStyle w:val="Tablacelda"/>
              <w:jc w:val="right"/>
            </w:pPr>
            <w:r>
              <w:t>−4,0</w:t>
            </w:r>
          </w:p>
        </w:tc>
      </w:tr>
      <w:tr w:rsidR="009D2FD2" w14:paraId="00A0712A" w14:textId="77777777">
        <w:tc>
          <w:tcPr>
            <w:tcW w:w="1500" w:type="dxa"/>
            <w:tcBorders>
              <w:top w:val="nil"/>
              <w:left w:val="nil"/>
              <w:bottom w:val="nil"/>
              <w:right w:val="nil"/>
            </w:tcBorders>
            <w:tcMar>
              <w:top w:w="60" w:type="dxa"/>
              <w:left w:w="100" w:type="dxa"/>
              <w:bottom w:w="60" w:type="dxa"/>
              <w:right w:w="100" w:type="dxa"/>
            </w:tcMar>
          </w:tcPr>
          <w:p w14:paraId="31855927" w14:textId="77777777" w:rsidR="009D2FD2" w:rsidRDefault="00000000">
            <w:pPr>
              <w:pStyle w:val="Tablacelda"/>
            </w:pPr>
            <w:r>
              <w:t>10,00 %</w:t>
            </w:r>
          </w:p>
        </w:tc>
        <w:tc>
          <w:tcPr>
            <w:tcW w:w="1200" w:type="dxa"/>
            <w:tcBorders>
              <w:top w:val="nil"/>
              <w:left w:val="nil"/>
              <w:bottom w:val="nil"/>
              <w:right w:val="nil"/>
            </w:tcBorders>
            <w:tcMar>
              <w:top w:w="60" w:type="dxa"/>
              <w:left w:w="100" w:type="dxa"/>
              <w:bottom w:w="60" w:type="dxa"/>
              <w:right w:w="100" w:type="dxa"/>
            </w:tcMar>
          </w:tcPr>
          <w:p w14:paraId="63B9FDDD" w14:textId="77777777" w:rsidR="009D2FD2" w:rsidRDefault="00000000">
            <w:pPr>
              <w:pStyle w:val="Tablacelda"/>
              <w:jc w:val="right"/>
            </w:pPr>
            <w:r>
              <w:t>5,3 %</w:t>
            </w:r>
          </w:p>
        </w:tc>
        <w:tc>
          <w:tcPr>
            <w:tcW w:w="1400" w:type="dxa"/>
            <w:tcBorders>
              <w:top w:val="nil"/>
              <w:left w:val="nil"/>
              <w:bottom w:val="nil"/>
              <w:right w:val="nil"/>
            </w:tcBorders>
            <w:tcMar>
              <w:top w:w="60" w:type="dxa"/>
              <w:left w:w="100" w:type="dxa"/>
              <w:bottom w:w="60" w:type="dxa"/>
              <w:right w:w="100" w:type="dxa"/>
            </w:tcMar>
          </w:tcPr>
          <w:p w14:paraId="714CF92C" w14:textId="77777777" w:rsidR="009D2FD2" w:rsidRDefault="00000000">
            <w:pPr>
              <w:pStyle w:val="Tablacelda"/>
              <w:jc w:val="right"/>
            </w:pPr>
            <w:r>
              <w:t>40,1 %</w:t>
            </w:r>
          </w:p>
        </w:tc>
        <w:tc>
          <w:tcPr>
            <w:tcW w:w="1900" w:type="dxa"/>
            <w:tcBorders>
              <w:top w:val="nil"/>
              <w:left w:val="nil"/>
              <w:bottom w:val="nil"/>
              <w:right w:val="nil"/>
            </w:tcBorders>
            <w:tcMar>
              <w:top w:w="60" w:type="dxa"/>
              <w:left w:w="100" w:type="dxa"/>
              <w:bottom w:w="60" w:type="dxa"/>
              <w:right w:w="100" w:type="dxa"/>
            </w:tcMar>
          </w:tcPr>
          <w:p w14:paraId="310010C9" w14:textId="77777777" w:rsidR="009D2FD2" w:rsidRDefault="00000000">
            <w:pPr>
              <w:pStyle w:val="Tablacelda"/>
              <w:jc w:val="right"/>
            </w:pPr>
            <w:r>
              <w:t>−6,3</w:t>
            </w:r>
          </w:p>
        </w:tc>
        <w:tc>
          <w:tcPr>
            <w:tcW w:w="1700" w:type="dxa"/>
            <w:tcBorders>
              <w:top w:val="nil"/>
              <w:left w:val="nil"/>
              <w:bottom w:val="nil"/>
              <w:right w:val="nil"/>
            </w:tcBorders>
            <w:tcMar>
              <w:top w:w="60" w:type="dxa"/>
              <w:left w:w="100" w:type="dxa"/>
              <w:bottom w:w="60" w:type="dxa"/>
              <w:right w:w="100" w:type="dxa"/>
            </w:tcMar>
          </w:tcPr>
          <w:p w14:paraId="6A90B5F9" w14:textId="77777777" w:rsidR="009D2FD2" w:rsidRDefault="00000000">
            <w:pPr>
              <w:pStyle w:val="Tablacelda"/>
              <w:jc w:val="right"/>
            </w:pPr>
            <w:r>
              <w:t>69,2 %</w:t>
            </w:r>
          </w:p>
        </w:tc>
        <w:tc>
          <w:tcPr>
            <w:tcW w:w="1660" w:type="dxa"/>
            <w:tcBorders>
              <w:top w:val="nil"/>
              <w:left w:val="nil"/>
              <w:bottom w:val="nil"/>
              <w:right w:val="nil"/>
            </w:tcBorders>
            <w:tcMar>
              <w:top w:w="60" w:type="dxa"/>
              <w:left w:w="100" w:type="dxa"/>
              <w:bottom w:w="60" w:type="dxa"/>
              <w:right w:w="100" w:type="dxa"/>
            </w:tcMar>
          </w:tcPr>
          <w:p w14:paraId="4CA2122F" w14:textId="77777777" w:rsidR="009D2FD2" w:rsidRDefault="00000000">
            <w:pPr>
              <w:pStyle w:val="Tablacelda"/>
              <w:jc w:val="right"/>
            </w:pPr>
            <w:r>
              <w:t>−16,4</w:t>
            </w:r>
          </w:p>
        </w:tc>
      </w:tr>
      <w:tr w:rsidR="009D2FD2" w14:paraId="43048245" w14:textId="77777777">
        <w:tc>
          <w:tcPr>
            <w:tcW w:w="1500" w:type="dxa"/>
            <w:tcBorders>
              <w:top w:val="nil"/>
              <w:left w:val="nil"/>
              <w:bottom w:val="nil"/>
              <w:right w:val="nil"/>
            </w:tcBorders>
            <w:tcMar>
              <w:top w:w="60" w:type="dxa"/>
              <w:left w:w="100" w:type="dxa"/>
              <w:bottom w:w="60" w:type="dxa"/>
              <w:right w:w="100" w:type="dxa"/>
            </w:tcMar>
          </w:tcPr>
          <w:p w14:paraId="262214CD" w14:textId="77777777" w:rsidR="009D2FD2" w:rsidRDefault="00000000">
            <w:pPr>
              <w:pStyle w:val="Tablacelda"/>
            </w:pPr>
            <w:r>
              <w:t>12,25 %</w:t>
            </w:r>
          </w:p>
        </w:tc>
        <w:tc>
          <w:tcPr>
            <w:tcW w:w="1200" w:type="dxa"/>
            <w:tcBorders>
              <w:top w:val="nil"/>
              <w:left w:val="nil"/>
              <w:bottom w:val="nil"/>
              <w:right w:val="nil"/>
            </w:tcBorders>
            <w:tcMar>
              <w:top w:w="60" w:type="dxa"/>
              <w:left w:w="100" w:type="dxa"/>
              <w:bottom w:w="60" w:type="dxa"/>
              <w:right w:w="100" w:type="dxa"/>
            </w:tcMar>
          </w:tcPr>
          <w:p w14:paraId="0484CD53" w14:textId="77777777" w:rsidR="009D2FD2" w:rsidRDefault="00000000">
            <w:pPr>
              <w:pStyle w:val="Tablacelda"/>
              <w:jc w:val="right"/>
            </w:pPr>
            <w:r>
              <w:t>7,5 %</w:t>
            </w:r>
          </w:p>
        </w:tc>
        <w:tc>
          <w:tcPr>
            <w:tcW w:w="1400" w:type="dxa"/>
            <w:tcBorders>
              <w:top w:val="nil"/>
              <w:left w:val="nil"/>
              <w:bottom w:val="nil"/>
              <w:right w:val="nil"/>
            </w:tcBorders>
            <w:tcMar>
              <w:top w:w="60" w:type="dxa"/>
              <w:left w:w="100" w:type="dxa"/>
              <w:bottom w:w="60" w:type="dxa"/>
              <w:right w:w="100" w:type="dxa"/>
            </w:tcMar>
          </w:tcPr>
          <w:p w14:paraId="75C5A7C1" w14:textId="77777777" w:rsidR="009D2FD2" w:rsidRDefault="00000000">
            <w:pPr>
              <w:pStyle w:val="Tablacelda"/>
              <w:jc w:val="right"/>
            </w:pPr>
            <w:r>
              <w:t>34,2 %</w:t>
            </w:r>
          </w:p>
        </w:tc>
        <w:tc>
          <w:tcPr>
            <w:tcW w:w="1900" w:type="dxa"/>
            <w:tcBorders>
              <w:top w:val="nil"/>
              <w:left w:val="nil"/>
              <w:bottom w:val="nil"/>
              <w:right w:val="nil"/>
            </w:tcBorders>
            <w:tcMar>
              <w:top w:w="60" w:type="dxa"/>
              <w:left w:w="100" w:type="dxa"/>
              <w:bottom w:w="60" w:type="dxa"/>
              <w:right w:w="100" w:type="dxa"/>
            </w:tcMar>
          </w:tcPr>
          <w:p w14:paraId="3AC17AF5" w14:textId="77777777" w:rsidR="009D2FD2" w:rsidRDefault="00000000">
            <w:pPr>
              <w:pStyle w:val="Tablacelda"/>
              <w:jc w:val="right"/>
            </w:pPr>
            <w:r>
              <w:t>−11,6</w:t>
            </w:r>
          </w:p>
        </w:tc>
        <w:tc>
          <w:tcPr>
            <w:tcW w:w="1700" w:type="dxa"/>
            <w:tcBorders>
              <w:top w:val="nil"/>
              <w:left w:val="nil"/>
              <w:bottom w:val="nil"/>
              <w:right w:val="nil"/>
            </w:tcBorders>
            <w:tcMar>
              <w:top w:w="60" w:type="dxa"/>
              <w:left w:w="100" w:type="dxa"/>
              <w:bottom w:w="60" w:type="dxa"/>
              <w:right w:w="100" w:type="dxa"/>
            </w:tcMar>
          </w:tcPr>
          <w:p w14:paraId="2B96D129" w14:textId="77777777" w:rsidR="009D2FD2" w:rsidRDefault="00000000">
            <w:pPr>
              <w:pStyle w:val="Tablacelda"/>
              <w:jc w:val="right"/>
            </w:pPr>
            <w:r>
              <w:t>79,1 %</w:t>
            </w:r>
          </w:p>
        </w:tc>
        <w:tc>
          <w:tcPr>
            <w:tcW w:w="1660" w:type="dxa"/>
            <w:tcBorders>
              <w:top w:val="nil"/>
              <w:left w:val="nil"/>
              <w:bottom w:val="nil"/>
              <w:right w:val="nil"/>
            </w:tcBorders>
            <w:tcMar>
              <w:top w:w="60" w:type="dxa"/>
              <w:left w:w="100" w:type="dxa"/>
              <w:bottom w:w="60" w:type="dxa"/>
              <w:right w:w="100" w:type="dxa"/>
            </w:tcMar>
          </w:tcPr>
          <w:p w14:paraId="53E2E8A9" w14:textId="77777777" w:rsidR="009D2FD2" w:rsidRDefault="00000000">
            <w:pPr>
              <w:pStyle w:val="Tablacelda"/>
              <w:jc w:val="right"/>
            </w:pPr>
            <w:r>
              <w:t>−31,0</w:t>
            </w:r>
          </w:p>
        </w:tc>
      </w:tr>
      <w:tr w:rsidR="009D2FD2" w14:paraId="7822D7F2" w14:textId="77777777">
        <w:tc>
          <w:tcPr>
            <w:tcW w:w="1500" w:type="dxa"/>
            <w:tcBorders>
              <w:top w:val="nil"/>
              <w:left w:val="nil"/>
              <w:bottom w:val="nil"/>
              <w:right w:val="nil"/>
            </w:tcBorders>
            <w:shd w:val="clear" w:color="auto" w:fill="E2EFDA"/>
            <w:tcMar>
              <w:top w:w="60" w:type="dxa"/>
              <w:left w:w="100" w:type="dxa"/>
              <w:bottom w:w="60" w:type="dxa"/>
              <w:right w:w="100" w:type="dxa"/>
            </w:tcMar>
          </w:tcPr>
          <w:p w14:paraId="1F0679F8" w14:textId="77777777" w:rsidR="009D2FD2" w:rsidRDefault="00000000">
            <w:pPr>
              <w:pStyle w:val="Tablacelda"/>
            </w:pPr>
            <w:r>
              <w:t>12,95 % (mercado)</w:t>
            </w:r>
          </w:p>
        </w:tc>
        <w:tc>
          <w:tcPr>
            <w:tcW w:w="1200" w:type="dxa"/>
            <w:tcBorders>
              <w:top w:val="nil"/>
              <w:left w:val="nil"/>
              <w:bottom w:val="nil"/>
              <w:right w:val="nil"/>
            </w:tcBorders>
            <w:shd w:val="clear" w:color="auto" w:fill="E2EFDA"/>
            <w:tcMar>
              <w:top w:w="60" w:type="dxa"/>
              <w:left w:w="100" w:type="dxa"/>
              <w:bottom w:w="60" w:type="dxa"/>
              <w:right w:w="100" w:type="dxa"/>
            </w:tcMar>
          </w:tcPr>
          <w:p w14:paraId="5681DDF5" w14:textId="77777777" w:rsidR="009D2FD2" w:rsidRDefault="00000000">
            <w:pPr>
              <w:pStyle w:val="Tablacelda"/>
              <w:jc w:val="right"/>
            </w:pPr>
            <w:r>
              <w:t>8,1 %</w:t>
            </w:r>
          </w:p>
        </w:tc>
        <w:tc>
          <w:tcPr>
            <w:tcW w:w="1400" w:type="dxa"/>
            <w:tcBorders>
              <w:top w:val="nil"/>
              <w:left w:val="nil"/>
              <w:bottom w:val="nil"/>
              <w:right w:val="nil"/>
            </w:tcBorders>
            <w:shd w:val="clear" w:color="auto" w:fill="E2EFDA"/>
            <w:tcMar>
              <w:top w:w="60" w:type="dxa"/>
              <w:left w:w="100" w:type="dxa"/>
              <w:bottom w:w="60" w:type="dxa"/>
              <w:right w:w="100" w:type="dxa"/>
            </w:tcMar>
          </w:tcPr>
          <w:p w14:paraId="4F2CE90E" w14:textId="77777777" w:rsidR="009D2FD2" w:rsidRDefault="00000000">
            <w:pPr>
              <w:pStyle w:val="Tablacelda"/>
              <w:jc w:val="right"/>
            </w:pPr>
            <w:r>
              <w:t>32,5 %</w:t>
            </w:r>
          </w:p>
        </w:tc>
        <w:tc>
          <w:tcPr>
            <w:tcW w:w="1900" w:type="dxa"/>
            <w:tcBorders>
              <w:top w:val="nil"/>
              <w:left w:val="nil"/>
              <w:bottom w:val="nil"/>
              <w:right w:val="nil"/>
            </w:tcBorders>
            <w:shd w:val="clear" w:color="auto" w:fill="E2EFDA"/>
            <w:tcMar>
              <w:top w:w="60" w:type="dxa"/>
              <w:left w:w="100" w:type="dxa"/>
              <w:bottom w:w="60" w:type="dxa"/>
              <w:right w:w="100" w:type="dxa"/>
            </w:tcMar>
          </w:tcPr>
          <w:p w14:paraId="08F58AE4" w14:textId="77777777" w:rsidR="009D2FD2" w:rsidRDefault="00000000">
            <w:pPr>
              <w:pStyle w:val="Tablacelda"/>
              <w:jc w:val="right"/>
            </w:pPr>
            <w:r>
              <w:t>−13,3</w:t>
            </w:r>
          </w:p>
        </w:tc>
        <w:tc>
          <w:tcPr>
            <w:tcW w:w="1700" w:type="dxa"/>
            <w:tcBorders>
              <w:top w:val="nil"/>
              <w:left w:val="nil"/>
              <w:bottom w:val="nil"/>
              <w:right w:val="nil"/>
            </w:tcBorders>
            <w:shd w:val="clear" w:color="auto" w:fill="E2EFDA"/>
            <w:tcMar>
              <w:top w:w="60" w:type="dxa"/>
              <w:left w:w="100" w:type="dxa"/>
              <w:bottom w:w="60" w:type="dxa"/>
              <w:right w:w="100" w:type="dxa"/>
            </w:tcMar>
          </w:tcPr>
          <w:p w14:paraId="4EDE0746" w14:textId="77777777" w:rsidR="009D2FD2" w:rsidRDefault="00000000">
            <w:pPr>
              <w:pStyle w:val="Tablacelda"/>
              <w:jc w:val="right"/>
            </w:pPr>
            <w:r>
              <w:t>81,7 %</w:t>
            </w:r>
          </w:p>
        </w:tc>
        <w:tc>
          <w:tcPr>
            <w:tcW w:w="1660" w:type="dxa"/>
            <w:tcBorders>
              <w:top w:val="nil"/>
              <w:left w:val="nil"/>
              <w:bottom w:val="nil"/>
              <w:right w:val="nil"/>
            </w:tcBorders>
            <w:shd w:val="clear" w:color="auto" w:fill="E2EFDA"/>
            <w:tcMar>
              <w:top w:w="60" w:type="dxa"/>
              <w:left w:w="100" w:type="dxa"/>
              <w:bottom w:w="60" w:type="dxa"/>
              <w:right w:w="100" w:type="dxa"/>
            </w:tcMar>
          </w:tcPr>
          <w:p w14:paraId="36C9D5FB" w14:textId="77777777" w:rsidR="009D2FD2" w:rsidRDefault="00000000">
            <w:pPr>
              <w:pStyle w:val="Tablacelda"/>
              <w:jc w:val="right"/>
            </w:pPr>
            <w:r>
              <w:t>−35,7</w:t>
            </w:r>
          </w:p>
        </w:tc>
      </w:tr>
      <w:tr w:rsidR="009D2FD2" w14:paraId="726D2D3F" w14:textId="77777777">
        <w:tc>
          <w:tcPr>
            <w:tcW w:w="1500" w:type="dxa"/>
            <w:tcBorders>
              <w:top w:val="nil"/>
              <w:left w:val="nil"/>
              <w:bottom w:val="single" w:sz="8" w:space="0" w:color="000000"/>
              <w:right w:val="nil"/>
            </w:tcBorders>
            <w:tcMar>
              <w:top w:w="60" w:type="dxa"/>
              <w:left w:w="100" w:type="dxa"/>
              <w:bottom w:w="60" w:type="dxa"/>
              <w:right w:w="100" w:type="dxa"/>
            </w:tcMar>
          </w:tcPr>
          <w:p w14:paraId="6BC34FFA" w14:textId="77777777" w:rsidR="009D2FD2" w:rsidRDefault="00000000">
            <w:pPr>
              <w:pStyle w:val="Tablacelda"/>
            </w:pPr>
            <w:r>
              <w:t>14,00 %</w:t>
            </w:r>
          </w:p>
        </w:tc>
        <w:tc>
          <w:tcPr>
            <w:tcW w:w="1200" w:type="dxa"/>
            <w:tcBorders>
              <w:top w:val="nil"/>
              <w:left w:val="nil"/>
              <w:bottom w:val="single" w:sz="8" w:space="0" w:color="000000"/>
              <w:right w:val="nil"/>
            </w:tcBorders>
            <w:tcMar>
              <w:top w:w="60" w:type="dxa"/>
              <w:left w:w="100" w:type="dxa"/>
              <w:bottom w:w="60" w:type="dxa"/>
              <w:right w:w="100" w:type="dxa"/>
            </w:tcMar>
          </w:tcPr>
          <w:p w14:paraId="3EE02DC5" w14:textId="77777777" w:rsidR="009D2FD2" w:rsidRDefault="00000000">
            <w:pPr>
              <w:pStyle w:val="Tablacelda"/>
              <w:jc w:val="right"/>
            </w:pPr>
            <w:r>
              <w:t>9,1 %</w:t>
            </w:r>
          </w:p>
        </w:tc>
        <w:tc>
          <w:tcPr>
            <w:tcW w:w="1400" w:type="dxa"/>
            <w:tcBorders>
              <w:top w:val="nil"/>
              <w:left w:val="nil"/>
              <w:bottom w:val="single" w:sz="8" w:space="0" w:color="000000"/>
              <w:right w:val="nil"/>
            </w:tcBorders>
            <w:tcMar>
              <w:top w:w="60" w:type="dxa"/>
              <w:left w:w="100" w:type="dxa"/>
              <w:bottom w:w="60" w:type="dxa"/>
              <w:right w:w="100" w:type="dxa"/>
            </w:tcMar>
          </w:tcPr>
          <w:p w14:paraId="3948B376" w14:textId="77777777" w:rsidR="009D2FD2" w:rsidRDefault="00000000">
            <w:pPr>
              <w:pStyle w:val="Tablacelda"/>
              <w:jc w:val="right"/>
            </w:pPr>
            <w:r>
              <w:t>30,0 %</w:t>
            </w:r>
          </w:p>
        </w:tc>
        <w:tc>
          <w:tcPr>
            <w:tcW w:w="1900" w:type="dxa"/>
            <w:tcBorders>
              <w:top w:val="nil"/>
              <w:left w:val="nil"/>
              <w:bottom w:val="single" w:sz="8" w:space="0" w:color="000000"/>
              <w:right w:val="nil"/>
            </w:tcBorders>
            <w:tcMar>
              <w:top w:w="60" w:type="dxa"/>
              <w:left w:w="100" w:type="dxa"/>
              <w:bottom w:w="60" w:type="dxa"/>
              <w:right w:w="100" w:type="dxa"/>
            </w:tcMar>
          </w:tcPr>
          <w:p w14:paraId="351987FD" w14:textId="77777777" w:rsidR="009D2FD2" w:rsidRDefault="00000000">
            <w:pPr>
              <w:pStyle w:val="Tablacelda"/>
              <w:jc w:val="right"/>
            </w:pPr>
            <w:r>
              <w:t>−15,8</w:t>
            </w:r>
          </w:p>
        </w:tc>
        <w:tc>
          <w:tcPr>
            <w:tcW w:w="1700" w:type="dxa"/>
            <w:tcBorders>
              <w:top w:val="nil"/>
              <w:left w:val="nil"/>
              <w:bottom w:val="single" w:sz="8" w:space="0" w:color="000000"/>
              <w:right w:val="nil"/>
            </w:tcBorders>
            <w:tcMar>
              <w:top w:w="60" w:type="dxa"/>
              <w:left w:w="100" w:type="dxa"/>
              <w:bottom w:w="60" w:type="dxa"/>
              <w:right w:w="100" w:type="dxa"/>
            </w:tcMar>
          </w:tcPr>
          <w:p w14:paraId="2F82D1BF" w14:textId="77777777" w:rsidR="009D2FD2" w:rsidRDefault="00000000">
            <w:pPr>
              <w:pStyle w:val="Tablacelda"/>
              <w:jc w:val="right"/>
            </w:pPr>
            <w:r>
              <w:t>85,1 %</w:t>
            </w:r>
          </w:p>
        </w:tc>
        <w:tc>
          <w:tcPr>
            <w:tcW w:w="1660" w:type="dxa"/>
            <w:tcBorders>
              <w:top w:val="nil"/>
              <w:left w:val="nil"/>
              <w:bottom w:val="single" w:sz="8" w:space="0" w:color="000000"/>
              <w:right w:val="nil"/>
            </w:tcBorders>
            <w:tcMar>
              <w:top w:w="60" w:type="dxa"/>
              <w:left w:w="100" w:type="dxa"/>
              <w:bottom w:w="60" w:type="dxa"/>
              <w:right w:w="100" w:type="dxa"/>
            </w:tcMar>
          </w:tcPr>
          <w:p w14:paraId="48B56840" w14:textId="77777777" w:rsidR="009D2FD2" w:rsidRDefault="00000000">
            <w:pPr>
              <w:pStyle w:val="Tablacelda"/>
              <w:jc w:val="right"/>
            </w:pPr>
            <w:r>
              <w:t>−42,8</w:t>
            </w:r>
          </w:p>
        </w:tc>
      </w:tr>
    </w:tbl>
    <w:p w14:paraId="616DCD76" w14:textId="77777777" w:rsidR="009D2FD2" w:rsidRDefault="009D2FD2">
      <w:pPr>
        <w:spacing w:after="60"/>
      </w:pPr>
    </w:p>
    <w:p w14:paraId="4C700035" w14:textId="77777777" w:rsidR="009D2FD2" w:rsidRDefault="00000000">
      <w:r>
        <w:t>El punto de equilibrio está en una prima de 2,5 % a 3 % anual, cercana a la depreciación esperada. Si para 2032 el diferencial de tasas entre Colombia y EE. UU. se redujera a 3 o 4 puntos, por ejemplo, porque la inflación colombiana vuelve a la meta, la cobertura costaría poco o incluso tendría un resultado esperado positivo. Si el diferencial se mantiene en los niveles actuales, seguirá siendo costosa. La reducción de riesgo, en cambio, casi no depende de las tasas</w:t>
      </w:r>
    </w:p>
    <w:p w14:paraId="7FC4D102" w14:textId="77777777" w:rsidR="009D2FD2" w:rsidRDefault="00000000">
      <w:r>
        <w:rPr>
          <w:b/>
          <w:bCs/>
          <w:lang w:val="fr-FR"/>
        </w:rPr>
        <w:t xml:space="preserve">Normal frente a t de Student. </w:t>
      </w:r>
      <w:r>
        <w:t>Las conclusiones no cambian con la distribución: con ν = 8,9 el CVaR del costo total sin cobertura pasa de COP 1.244 a 1.246 millones, y la cobertura conserva la misma reducción de riesgo y el mismo costo esperado.</w:t>
      </w:r>
    </w:p>
    <w:p w14:paraId="3C933F2D" w14:textId="77777777" w:rsidR="009D2FD2" w:rsidRDefault="00000000">
      <w:pPr>
        <w:pStyle w:val="TtuloAPAnivel2"/>
      </w:pPr>
      <w:r>
        <w:t>Conclusión de la parte B</w:t>
      </w:r>
    </w:p>
    <w:p w14:paraId="77EB6827" w14:textId="77777777" w:rsidR="009D2FD2" w:rsidRDefault="00000000">
      <w:r>
        <w:t xml:space="preserve">La estrategia de cubrir el 75 % con cuatro forwards consecutivos cumple su función principal: hace casi predecible el costo de cada año a partir de su fecha de pacto y reduce entre las pérdidas en los años de devaluación fuerte. Sin embargo, no es gratuita ni completa. Con el </w:t>
      </w:r>
      <w:r>
        <w:lastRenderedPageBreak/>
        <w:t>diferencial de tasas actual, la cobertura cuesta en promedio unos COP 13 millones y, como cada forward se renueva con la TRM del momento, no protege contra una depreciación acumulada de varios años. Por eso se que la cobertura es financieramente conveniente si la empresa valora más la estabilidad presupuestal que el ahorro esperado. No lo es si el único criterio es minimizar el costo esperado, salvo que el diferencial de tasas se reduzca antes del año 7. Dos ajustes podrían mejorar la cobertura pueden ser: empezar a cubrir antes del año 6, porque la mayor parte del riesgo se acumula en los primeros años, y combinar forwards de distintos plazos para fijar parte del precio de los años 8 a 10 desde el inicio de la cobertura.</w:t>
      </w:r>
    </w:p>
    <w:p w14:paraId="1D0792F6" w14:textId="77777777" w:rsidR="00D20524" w:rsidRDefault="00000000">
      <w:pPr>
        <w:pStyle w:val="TtuloAPAnivel1"/>
        <w:pageBreakBefore/>
      </w:pPr>
      <w:r>
        <w:lastRenderedPageBreak/>
        <w:t>Referencias</w:t>
      </w:r>
    </w:p>
    <w:p w14:paraId="469DA555" w14:textId="77777777" w:rsidR="00D20524" w:rsidRDefault="00000000">
      <w:pPr>
        <w:pStyle w:val="ReferenciaAPA"/>
      </w:pPr>
      <w:r>
        <w:t xml:space="preserve">Banco de Bogotá Internacional. (s. f.). </w:t>
      </w:r>
      <w:r>
        <w:rPr>
          <w:i/>
          <w:iCs/>
        </w:rPr>
        <w:t>Indicadores económicos: IBR</w:t>
      </w:r>
      <w:r>
        <w:t xml:space="preserve">. Recuperado el 27 de octubre de 2026, de </w:t>
      </w:r>
      <w:hyperlink r:id="rId50" w:history="1">
        <w:r>
          <w:rPr>
            <w:rStyle w:val="Hipervnculo"/>
          </w:rPr>
          <w:t>https://www.bancodebogotainternacional.com/bbi/es/economicindicator</w:t>
        </w:r>
      </w:hyperlink>
    </w:p>
    <w:p w14:paraId="28DC9009" w14:textId="77777777" w:rsidR="00D20524" w:rsidRDefault="00000000">
      <w:pPr>
        <w:pStyle w:val="ReferenciaAPA"/>
      </w:pPr>
      <w:r>
        <w:t xml:space="preserve">Banco de la República. (s. f.). </w:t>
      </w:r>
      <w:r>
        <w:rPr>
          <w:i/>
          <w:iCs/>
        </w:rPr>
        <w:t>Estadísticas económicas: TRM y tasa de política monetaria</w:t>
      </w:r>
      <w:r>
        <w:t xml:space="preserve">. Recuperado el 27 de octubre de 2026, de </w:t>
      </w:r>
      <w:hyperlink r:id="rId51" w:history="1">
        <w:r>
          <w:rPr>
            <w:rStyle w:val="Hipervnculo"/>
          </w:rPr>
          <w:t>https://totoro.banrep.gov.co/estadisticas-economicas/</w:t>
        </w:r>
      </w:hyperlink>
    </w:p>
    <w:p w14:paraId="308E8129" w14:textId="77777777" w:rsidR="00D20524" w:rsidRDefault="00000000">
      <w:pPr>
        <w:pStyle w:val="ReferenciaAPA"/>
      </w:pPr>
      <w:r>
        <w:t xml:space="preserve">Bloomberg Línea. (2026). </w:t>
      </w:r>
      <w:r>
        <w:rPr>
          <w:i/>
          <w:iCs/>
        </w:rPr>
        <w:t>Déficit externo de Colombia se amplía a US$5.981 millones en el primer semestre de 2026</w:t>
      </w:r>
      <w:r>
        <w:t xml:space="preserve">. </w:t>
      </w:r>
      <w:hyperlink r:id="rId52" w:history="1">
        <w:r>
          <w:rPr>
            <w:rStyle w:val="Hipervnculo"/>
          </w:rPr>
          <w:t>https://www.bloomberglinea.com/latinoamerica/colombia/deficit-externo-de-colombia-se-amplia-a-us5981-millones-en-el-primer-semestre-de-2026/</w:t>
        </w:r>
      </w:hyperlink>
    </w:p>
    <w:p w14:paraId="65FDDE34" w14:textId="77777777" w:rsidR="00D20524" w:rsidRDefault="00000000">
      <w:pPr>
        <w:pStyle w:val="ReferenciaAPA"/>
      </w:pPr>
      <w:r w:rsidRPr="00367366">
        <w:rPr>
          <w:lang w:val="en-US"/>
        </w:rPr>
        <w:t xml:space="preserve">Board of Governors of the Federal Reserve System. (2026, 26 de </w:t>
      </w:r>
      <w:proofErr w:type="spellStart"/>
      <w:r w:rsidRPr="00367366">
        <w:rPr>
          <w:lang w:val="en-US"/>
        </w:rPr>
        <w:t>octubre</w:t>
      </w:r>
      <w:proofErr w:type="spellEnd"/>
      <w:r w:rsidRPr="00367366">
        <w:rPr>
          <w:lang w:val="en-US"/>
        </w:rPr>
        <w:t xml:space="preserve">). </w:t>
      </w:r>
      <w:r w:rsidRPr="00367366">
        <w:rPr>
          <w:i/>
          <w:iCs/>
          <w:lang w:val="en-US"/>
        </w:rPr>
        <w:t>Selected interest rates (daily): H.15</w:t>
      </w:r>
      <w:r w:rsidRPr="00367366">
        <w:rPr>
          <w:lang w:val="en-US"/>
        </w:rPr>
        <w:t xml:space="preserve">. </w:t>
      </w:r>
      <w:hyperlink r:id="rId53" w:history="1">
        <w:r>
          <w:rPr>
            <w:rStyle w:val="Hipervnculo"/>
          </w:rPr>
          <w:t>https://www.federalreserve.gov/releases/h15/</w:t>
        </w:r>
      </w:hyperlink>
    </w:p>
    <w:p w14:paraId="574268B3" w14:textId="77777777" w:rsidR="00D20524" w:rsidRDefault="00000000">
      <w:pPr>
        <w:pStyle w:val="ReferenciaAPA"/>
      </w:pPr>
      <w:r>
        <w:t xml:space="preserve">Cbonds. (s. f.-a). </w:t>
      </w:r>
      <w:r>
        <w:rPr>
          <w:i/>
          <w:iCs/>
        </w:rPr>
        <w:t>Curva forward USD/COP por plazos</w:t>
      </w:r>
      <w:r>
        <w:t xml:space="preserve">. Recuperado el 27 de octubre de 2026, de </w:t>
      </w:r>
      <w:hyperlink r:id="rId54" w:history="1">
        <w:r>
          <w:rPr>
            <w:rStyle w:val="Hipervnculo"/>
          </w:rPr>
          <w:t>https://cbonds.com.tr/indexes/215883/</w:t>
        </w:r>
      </w:hyperlink>
    </w:p>
    <w:p w14:paraId="29B785E0" w14:textId="77777777" w:rsidR="00D20524" w:rsidRDefault="00000000">
      <w:pPr>
        <w:pStyle w:val="ReferenciaAPA"/>
      </w:pPr>
      <w:proofErr w:type="spellStart"/>
      <w:r w:rsidRPr="00367366">
        <w:rPr>
          <w:lang w:val="en-US"/>
        </w:rPr>
        <w:t>Cbonds</w:t>
      </w:r>
      <w:proofErr w:type="spellEnd"/>
      <w:r w:rsidRPr="00367366">
        <w:rPr>
          <w:lang w:val="en-US"/>
        </w:rPr>
        <w:t xml:space="preserve">. (s. f.-b). </w:t>
      </w:r>
      <w:r w:rsidRPr="00367366">
        <w:rPr>
          <w:i/>
          <w:iCs/>
          <w:lang w:val="en-US"/>
        </w:rPr>
        <w:t>USD/COP 1Y FX forward rate (mid)</w:t>
      </w:r>
      <w:r w:rsidRPr="00367366">
        <w:rPr>
          <w:lang w:val="en-US"/>
        </w:rPr>
        <w:t xml:space="preserve">. </w:t>
      </w:r>
      <w:r>
        <w:t xml:space="preserve">Recuperado el 27 de octubre de 2026, de </w:t>
      </w:r>
      <w:hyperlink r:id="rId55" w:history="1">
        <w:r>
          <w:rPr>
            <w:rStyle w:val="Hipervnculo"/>
          </w:rPr>
          <w:t>https://cbonds.com/indexes/215895/</w:t>
        </w:r>
      </w:hyperlink>
    </w:p>
    <w:p w14:paraId="0097BCF8" w14:textId="77777777" w:rsidR="00D20524" w:rsidRDefault="00000000">
      <w:pPr>
        <w:pStyle w:val="ReferenciaAPA"/>
      </w:pPr>
      <w:r w:rsidRPr="00367366">
        <w:rPr>
          <w:lang w:val="en-US"/>
        </w:rPr>
        <w:t xml:space="preserve">Chase. (2026). </w:t>
      </w:r>
      <w:r w:rsidRPr="00367366">
        <w:rPr>
          <w:i/>
          <w:iCs/>
          <w:lang w:val="en-US"/>
        </w:rPr>
        <w:t xml:space="preserve">Federal Reserve raises </w:t>
      </w:r>
      <w:proofErr w:type="gramStart"/>
      <w:r w:rsidRPr="00367366">
        <w:rPr>
          <w:i/>
          <w:iCs/>
          <w:lang w:val="en-US"/>
        </w:rPr>
        <w:t>rates,</w:t>
      </w:r>
      <w:proofErr w:type="gramEnd"/>
      <w:r w:rsidRPr="00367366">
        <w:rPr>
          <w:i/>
          <w:iCs/>
          <w:lang w:val="en-US"/>
        </w:rPr>
        <w:t xml:space="preserve"> officials signal one more hike in 2026</w:t>
      </w:r>
      <w:r w:rsidRPr="00367366">
        <w:rPr>
          <w:lang w:val="en-US"/>
        </w:rPr>
        <w:t xml:space="preserve">. </w:t>
      </w:r>
      <w:hyperlink r:id="rId56" w:history="1">
        <w:r>
          <w:rPr>
            <w:rStyle w:val="Hipervnculo"/>
          </w:rPr>
          <w:t>https://www.chase.com/personal/investments/learning-and-insights/article/federal-reserve-raises-rates-officials-signal-one-more-hike-in-2026</w:t>
        </w:r>
      </w:hyperlink>
    </w:p>
    <w:p w14:paraId="58391A5C" w14:textId="77777777" w:rsidR="00D20524" w:rsidRDefault="00000000">
      <w:pPr>
        <w:pStyle w:val="ReferenciaAPA"/>
      </w:pPr>
      <w:r w:rsidRPr="00367366">
        <w:rPr>
          <w:lang w:val="en-US"/>
        </w:rPr>
        <w:t xml:space="preserve">Coleman Report. (2026). </w:t>
      </w:r>
      <w:r w:rsidRPr="00367366">
        <w:rPr>
          <w:i/>
          <w:iCs/>
          <w:lang w:val="en-US"/>
        </w:rPr>
        <w:t>SBA hot topic Tuesday: Grocery, manufacturing and rural businesses get new FY 2027 fee relief</w:t>
      </w:r>
      <w:r w:rsidRPr="00367366">
        <w:rPr>
          <w:lang w:val="en-US"/>
        </w:rPr>
        <w:t xml:space="preserve">. </w:t>
      </w:r>
      <w:hyperlink r:id="rId57" w:history="1">
        <w:r>
          <w:rPr>
            <w:rStyle w:val="Hipervnculo"/>
          </w:rPr>
          <w:t>https://colemanreport.com/sba-hot-topic-tuesday-grocery-manufacturing-and-rural-businesses-get-new-fy-2027-fee-relief/</w:t>
        </w:r>
      </w:hyperlink>
    </w:p>
    <w:p w14:paraId="21B511F8" w14:textId="77777777" w:rsidR="00D20524" w:rsidRDefault="00000000">
      <w:pPr>
        <w:pStyle w:val="ReferenciaAPA"/>
      </w:pPr>
      <w:r w:rsidRPr="00367366">
        <w:rPr>
          <w:lang w:val="en-US"/>
        </w:rPr>
        <w:lastRenderedPageBreak/>
        <w:t xml:space="preserve">Crowdfunded Wealth. (2026). </w:t>
      </w:r>
      <w:r w:rsidRPr="00367366">
        <w:rPr>
          <w:i/>
          <w:iCs/>
          <w:lang w:val="en-US"/>
        </w:rPr>
        <w:t>SBA 504 loan rates 2026</w:t>
      </w:r>
      <w:r w:rsidRPr="00367366">
        <w:rPr>
          <w:lang w:val="en-US"/>
        </w:rPr>
        <w:t xml:space="preserve">. </w:t>
      </w:r>
      <w:hyperlink r:id="rId58" w:history="1">
        <w:r>
          <w:rPr>
            <w:rStyle w:val="Hipervnculo"/>
          </w:rPr>
          <w:t>https://www.crowdfundedwealth.com/articles/sba-504-loan-rates-2026</w:t>
        </w:r>
      </w:hyperlink>
    </w:p>
    <w:p w14:paraId="3A7F0E2B" w14:textId="77777777" w:rsidR="00D20524" w:rsidRDefault="00000000">
      <w:pPr>
        <w:pStyle w:val="ReferenciaAPA"/>
      </w:pPr>
      <w:r>
        <w:t xml:space="preserve">Diario del Huila. (2026). </w:t>
      </w:r>
      <w:r>
        <w:rPr>
          <w:i/>
          <w:iCs/>
        </w:rPr>
        <w:t>Proyección del dólar en Colombia 2026</w:t>
      </w:r>
      <w:r>
        <w:t xml:space="preserve">. </w:t>
      </w:r>
      <w:hyperlink r:id="rId59" w:history="1">
        <w:r>
          <w:rPr>
            <w:rStyle w:val="Hipervnculo"/>
          </w:rPr>
          <w:t>https://diariodelhuila.com/proyeccion-dolar-colombia-2026/</w:t>
        </w:r>
      </w:hyperlink>
    </w:p>
    <w:p w14:paraId="374F4E81" w14:textId="77777777" w:rsidR="00D20524" w:rsidRDefault="00000000">
      <w:pPr>
        <w:pStyle w:val="ReferenciaAPA"/>
      </w:pPr>
      <w:r>
        <w:t xml:space="preserve">El Colombiano. (2026). </w:t>
      </w:r>
      <w:r>
        <w:rPr>
          <w:i/>
          <w:iCs/>
        </w:rPr>
        <w:t>Colombia baja calificación de riesgo de S&amp;P por déficit fiscal</w:t>
      </w:r>
      <w:r>
        <w:t xml:space="preserve">. </w:t>
      </w:r>
      <w:hyperlink r:id="rId60" w:history="1">
        <w:r>
          <w:rPr>
            <w:rStyle w:val="Hipervnculo"/>
          </w:rPr>
          <w:t>https://www.elcolombiano.com/negocios/colombia-baja-calificacion-riesgo-sp-deficit-fiscal-IG35331339</w:t>
        </w:r>
      </w:hyperlink>
    </w:p>
    <w:p w14:paraId="78837E41" w14:textId="77777777" w:rsidR="00D20524" w:rsidRDefault="00000000">
      <w:pPr>
        <w:pStyle w:val="ReferenciaAPA"/>
      </w:pPr>
      <w:r>
        <w:t xml:space="preserve">El Espectador. (2026). </w:t>
      </w:r>
      <w:r>
        <w:rPr>
          <w:i/>
          <w:iCs/>
        </w:rPr>
        <w:t>S&amp;P rebaja la calificación de Colombia a BB−: las razones detrás de la decisión</w:t>
      </w:r>
      <w:r>
        <w:t xml:space="preserve">. </w:t>
      </w:r>
      <w:hyperlink r:id="rId61" w:history="1">
        <w:r>
          <w:rPr>
            <w:rStyle w:val="Hipervnculo"/>
          </w:rPr>
          <w:t>https://www.elespectador.com/economia/sp-rebaja-la-calificacion-de-colombia-a-bb-las-razones-detras-de-la-decision/</w:t>
        </w:r>
      </w:hyperlink>
    </w:p>
    <w:p w14:paraId="678F8A2F" w14:textId="77777777" w:rsidR="00D20524" w:rsidRDefault="00000000">
      <w:pPr>
        <w:pStyle w:val="ReferenciaAPA"/>
      </w:pPr>
      <w:r w:rsidRPr="00367366">
        <w:rPr>
          <w:lang w:val="en-US"/>
        </w:rPr>
        <w:t xml:space="preserve">Federal Reserve Bank of St. Louis. (s. f.-a). </w:t>
      </w:r>
      <w:r w:rsidRPr="00367366">
        <w:rPr>
          <w:i/>
          <w:iCs/>
          <w:lang w:val="en-US"/>
        </w:rPr>
        <w:t>Secured Overnight Financing Rate (SOFR)</w:t>
      </w:r>
      <w:r w:rsidRPr="00367366">
        <w:rPr>
          <w:lang w:val="en-US"/>
        </w:rPr>
        <w:t xml:space="preserve"> [Base de datos FRED]. </w:t>
      </w:r>
      <w:r>
        <w:t xml:space="preserve">Recuperado el 27 de octubre de 2026, de </w:t>
      </w:r>
      <w:hyperlink r:id="rId62" w:history="1">
        <w:r>
          <w:rPr>
            <w:rStyle w:val="Hipervnculo"/>
          </w:rPr>
          <w:t>https://fred.stlouisfed.org/series/SOFR</w:t>
        </w:r>
      </w:hyperlink>
    </w:p>
    <w:p w14:paraId="08B50F9C" w14:textId="77777777" w:rsidR="00D20524" w:rsidRDefault="00000000">
      <w:pPr>
        <w:pStyle w:val="ReferenciaAPA"/>
      </w:pPr>
      <w:r w:rsidRPr="00367366">
        <w:rPr>
          <w:lang w:val="en-US"/>
        </w:rPr>
        <w:t xml:space="preserve">Federal Reserve Bank of St. Louis. </w:t>
      </w:r>
      <w:r>
        <w:t xml:space="preserve">(s. f.-b). </w:t>
      </w:r>
      <w:r>
        <w:rPr>
          <w:i/>
          <w:iCs/>
        </w:rPr>
        <w:t>Tasa de cambio de Colombia frente al dólar, fin de periodo, trimestral (COLCCUSSP02STQ)</w:t>
      </w:r>
      <w:r>
        <w:t xml:space="preserve"> [Base de datos FRED]. Recuperado el 27 de octubre de 2026, de </w:t>
      </w:r>
      <w:hyperlink r:id="rId63" w:history="1">
        <w:r>
          <w:rPr>
            <w:rStyle w:val="Hipervnculo"/>
          </w:rPr>
          <w:t>https://fred.stlouisfed.org/series/COLCCUSSP02STQ</w:t>
        </w:r>
      </w:hyperlink>
    </w:p>
    <w:p w14:paraId="252481AE" w14:textId="77777777" w:rsidR="00D20524" w:rsidRDefault="00000000">
      <w:pPr>
        <w:pStyle w:val="ReferenciaAPA"/>
      </w:pPr>
      <w:r>
        <w:t xml:space="preserve">Forex Fundamentals. (2026, 14 de octubre). </w:t>
      </w:r>
      <w:r>
        <w:rPr>
          <w:i/>
          <w:iCs/>
        </w:rPr>
        <w:t>US CPI: septiembre de 2026</w:t>
      </w:r>
      <w:r>
        <w:t xml:space="preserve"> [Calendario económico]. </w:t>
      </w:r>
      <w:hyperlink r:id="rId64" w:history="1">
        <w:r>
          <w:rPr>
            <w:rStyle w:val="Hipervnculo"/>
          </w:rPr>
          <w:t>https://forexfundamentals.com/economic-calendar/us-cpi/2026-10-14</w:t>
        </w:r>
      </w:hyperlink>
    </w:p>
    <w:p w14:paraId="048FB7EC" w14:textId="77777777" w:rsidR="00D20524" w:rsidRDefault="00000000">
      <w:pPr>
        <w:pStyle w:val="ReferenciaAPA"/>
      </w:pPr>
      <w:r>
        <w:t xml:space="preserve">Global66. (2026, 16 de octubre). </w:t>
      </w:r>
      <w:r>
        <w:rPr>
          <w:i/>
          <w:iCs/>
        </w:rPr>
        <w:t>Dólar hoy en Colombia: análisis semanal, 16 de octubre de 2026</w:t>
      </w:r>
      <w:r>
        <w:t xml:space="preserve">. </w:t>
      </w:r>
      <w:hyperlink r:id="rId65" w:history="1">
        <w:r>
          <w:rPr>
            <w:rStyle w:val="Hipervnculo"/>
          </w:rPr>
          <w:t>https://www.global66.com/blog/dolar-hoy-colombia-analisis-semanal-16-octubre-2026/</w:t>
        </w:r>
      </w:hyperlink>
    </w:p>
    <w:p w14:paraId="188F85B2" w14:textId="77777777" w:rsidR="00D20524" w:rsidRDefault="00000000">
      <w:pPr>
        <w:pStyle w:val="ReferenciaAPA"/>
      </w:pPr>
      <w:r>
        <w:t xml:space="preserve">Infobae. (2026a, 18 de octubre). </w:t>
      </w:r>
      <w:r>
        <w:rPr>
          <w:i/>
          <w:iCs/>
        </w:rPr>
        <w:t>Créditos y costo de vida se encarecerían en Colombia ante el desajuste de dinero que le dejó Gustavo Petro al país</w:t>
      </w:r>
      <w:r>
        <w:t xml:space="preserve">. </w:t>
      </w:r>
      <w:hyperlink r:id="rId66" w:history="1">
        <w:r>
          <w:rPr>
            <w:rStyle w:val="Hipervnculo"/>
          </w:rPr>
          <w:t>https://www.infobae.com/colombia/2026/10/18/creditos-y-costo-de-vida-se-encarecerian-en-colombia-ante-el-desajuste-de-dinero-que-le-dejo-gustavo-petro-al-pais-es-dispararnos-en-el-pie/</w:t>
        </w:r>
      </w:hyperlink>
    </w:p>
    <w:p w14:paraId="5508B08A" w14:textId="77777777" w:rsidR="00D20524" w:rsidRDefault="00000000">
      <w:pPr>
        <w:pStyle w:val="ReferenciaAPA"/>
      </w:pPr>
      <w:r>
        <w:t xml:space="preserve">Infobae. (2026b, 26 de octubre). </w:t>
      </w:r>
      <w:r>
        <w:rPr>
          <w:i/>
          <w:iCs/>
        </w:rPr>
        <w:t>Dólar hoy en Colombia: cotización de cierre del 26 de octubre</w:t>
      </w:r>
      <w:r>
        <w:t xml:space="preserve">. </w:t>
      </w:r>
      <w:hyperlink r:id="rId67" w:history="1">
        <w:r>
          <w:rPr>
            <w:rStyle w:val="Hipervnculo"/>
          </w:rPr>
          <w:t>https://www.infobae.com/colombia/2026/10/26/dolar-hoy-en-colombia-cotizacion-de-cierre-del-26-de-octubre/</w:t>
        </w:r>
      </w:hyperlink>
    </w:p>
    <w:p w14:paraId="496984C9" w14:textId="77777777" w:rsidR="00D20524" w:rsidRDefault="00000000">
      <w:pPr>
        <w:pStyle w:val="ReferenciaAPA"/>
      </w:pPr>
      <w:r>
        <w:t xml:space="preserve">La República. (s. f.). </w:t>
      </w:r>
      <w:r>
        <w:rPr>
          <w:i/>
          <w:iCs/>
        </w:rPr>
        <w:t>TES</w:t>
      </w:r>
      <w:r>
        <w:t xml:space="preserve">. Recuperado el 27 de octubre de 2026, de </w:t>
      </w:r>
      <w:hyperlink r:id="rId68" w:history="1">
        <w:r>
          <w:rPr>
            <w:rStyle w:val="Hipervnculo"/>
          </w:rPr>
          <w:t>https://www.larepublica.co/tes</w:t>
        </w:r>
      </w:hyperlink>
    </w:p>
    <w:p w14:paraId="7017E703" w14:textId="77777777" w:rsidR="00D20524" w:rsidRDefault="00000000">
      <w:pPr>
        <w:pStyle w:val="ReferenciaAPA"/>
      </w:pPr>
      <w:r>
        <w:t xml:space="preserve">La República. (2026a). </w:t>
      </w:r>
      <w:r>
        <w:rPr>
          <w:i/>
          <w:iCs/>
        </w:rPr>
        <w:t>El efecto electoral llevó el riesgo país a mínimos no registrados desde 2021</w:t>
      </w:r>
      <w:r>
        <w:t xml:space="preserve">. </w:t>
      </w:r>
      <w:hyperlink r:id="rId69" w:history="1">
        <w:r>
          <w:rPr>
            <w:rStyle w:val="Hipervnculo"/>
          </w:rPr>
          <w:t>https://www.larepublica.co/economia/el-efecto-electoral-llevo-el-riesgo-pais-a-minimos-no-registrados-desde-2021-4438721</w:t>
        </w:r>
      </w:hyperlink>
    </w:p>
    <w:p w14:paraId="60064FAE" w14:textId="77777777" w:rsidR="00D20524" w:rsidRDefault="00000000">
      <w:pPr>
        <w:pStyle w:val="ReferenciaAPA"/>
      </w:pPr>
      <w:r>
        <w:t xml:space="preserve">La República. (2026b). </w:t>
      </w:r>
      <w:r>
        <w:rPr>
          <w:i/>
          <w:iCs/>
        </w:rPr>
        <w:t>Las tasas de los bonos TES de corto plazo alcanzaron máximos de más de dos décadas</w:t>
      </w:r>
      <w:r>
        <w:t xml:space="preserve">. </w:t>
      </w:r>
      <w:hyperlink r:id="rId70" w:history="1">
        <w:r>
          <w:rPr>
            <w:rStyle w:val="Hipervnculo"/>
          </w:rPr>
          <w:t>https://www.larepublica.co/economia/las-tasas-de-los-bonos-tes-de-corto-plazo-alcanzaron-maximos-de-mas-de-dos-decadas-4394066</w:t>
        </w:r>
      </w:hyperlink>
    </w:p>
    <w:p w14:paraId="6D2BAE22" w14:textId="77777777" w:rsidR="00D20524" w:rsidRDefault="00000000">
      <w:pPr>
        <w:pStyle w:val="ReferenciaAPA"/>
      </w:pPr>
      <w:r w:rsidRPr="00367366">
        <w:rPr>
          <w:lang w:val="en-US"/>
        </w:rPr>
        <w:t xml:space="preserve">NAGGL. (2026). </w:t>
      </w:r>
      <w:r w:rsidRPr="00367366">
        <w:rPr>
          <w:i/>
          <w:iCs/>
          <w:lang w:val="en-US"/>
        </w:rPr>
        <w:t>Procedural notice revising SOP 50 10 8 for new citizenship and residency requirements</w:t>
      </w:r>
      <w:r w:rsidRPr="00367366">
        <w:rPr>
          <w:lang w:val="en-US"/>
        </w:rPr>
        <w:t xml:space="preserve">. </w:t>
      </w:r>
      <w:hyperlink r:id="rId71" w:history="1">
        <w:r>
          <w:rPr>
            <w:rStyle w:val="Hipervnculo"/>
          </w:rPr>
          <w:t>https://www.naggl.org/procedural-notice-revising-sop-50-10-8-for-new-citizenship-and-residency-requirements/</w:t>
        </w:r>
      </w:hyperlink>
    </w:p>
    <w:p w14:paraId="3FC44C15" w14:textId="77777777" w:rsidR="00D20524" w:rsidRDefault="00000000">
      <w:pPr>
        <w:pStyle w:val="ReferenciaAPA"/>
      </w:pPr>
      <w:r w:rsidRPr="00367366">
        <w:rPr>
          <w:lang w:val="en-US"/>
        </w:rPr>
        <w:t xml:space="preserve">NerdWallet. (s. f.-a). </w:t>
      </w:r>
      <w:r w:rsidRPr="00367366">
        <w:rPr>
          <w:i/>
          <w:iCs/>
          <w:lang w:val="en-US"/>
        </w:rPr>
        <w:t>SBA 504 loans</w:t>
      </w:r>
      <w:r w:rsidRPr="00367366">
        <w:rPr>
          <w:lang w:val="en-US"/>
        </w:rPr>
        <w:t xml:space="preserve">. </w:t>
      </w:r>
      <w:r>
        <w:t xml:space="preserve">Recuperado el 27 de octubre de 2026, de </w:t>
      </w:r>
      <w:hyperlink r:id="rId72" w:history="1">
        <w:r>
          <w:rPr>
            <w:rStyle w:val="Hipervnculo"/>
          </w:rPr>
          <w:t>https://www.nerdwallet.com/business/loans/learn/sba-504-loans</w:t>
        </w:r>
      </w:hyperlink>
    </w:p>
    <w:p w14:paraId="68A793AC" w14:textId="77777777" w:rsidR="00D20524" w:rsidRDefault="00000000">
      <w:pPr>
        <w:pStyle w:val="ReferenciaAPA"/>
      </w:pPr>
      <w:r w:rsidRPr="00367366">
        <w:rPr>
          <w:lang w:val="en-US"/>
        </w:rPr>
        <w:t xml:space="preserve">NerdWallet. (s. f.-b). </w:t>
      </w:r>
      <w:r w:rsidRPr="00367366">
        <w:rPr>
          <w:i/>
          <w:iCs/>
          <w:lang w:val="en-US"/>
        </w:rPr>
        <w:t>SBA 7(a) loan</w:t>
      </w:r>
      <w:r w:rsidRPr="00367366">
        <w:rPr>
          <w:lang w:val="en-US"/>
        </w:rPr>
        <w:t xml:space="preserve">. </w:t>
      </w:r>
      <w:r>
        <w:t xml:space="preserve">Recuperado el 27 de octubre de 2026, de </w:t>
      </w:r>
      <w:hyperlink r:id="rId73" w:history="1">
        <w:r>
          <w:rPr>
            <w:rStyle w:val="Hipervnculo"/>
          </w:rPr>
          <w:t>https://www.nerdwallet.com/business/loans/learn/sba-7a-loan</w:t>
        </w:r>
      </w:hyperlink>
    </w:p>
    <w:p w14:paraId="7FD929B6" w14:textId="77777777" w:rsidR="00D20524" w:rsidRDefault="00000000">
      <w:pPr>
        <w:pStyle w:val="ReferenciaAPA"/>
      </w:pPr>
      <w:r w:rsidRPr="00367366">
        <w:rPr>
          <w:lang w:val="en-US"/>
        </w:rPr>
        <w:t xml:space="preserve">NerdWallet. (s. f.-c). </w:t>
      </w:r>
      <w:r w:rsidRPr="00367366">
        <w:rPr>
          <w:i/>
          <w:iCs/>
          <w:lang w:val="en-US"/>
        </w:rPr>
        <w:t>SBA lenders</w:t>
      </w:r>
      <w:r w:rsidRPr="00367366">
        <w:rPr>
          <w:lang w:val="en-US"/>
        </w:rPr>
        <w:t xml:space="preserve">. </w:t>
      </w:r>
      <w:r>
        <w:t xml:space="preserve">Recuperado el 27 de octubre de 2026, de </w:t>
      </w:r>
      <w:hyperlink r:id="rId74" w:history="1">
        <w:r>
          <w:rPr>
            <w:rStyle w:val="Hipervnculo"/>
          </w:rPr>
          <w:t>https://www.nerdwallet.com/business/loans/learn/sba-lenders</w:t>
        </w:r>
      </w:hyperlink>
    </w:p>
    <w:p w14:paraId="49223177" w14:textId="77777777" w:rsidR="00D20524" w:rsidRDefault="00000000">
      <w:pPr>
        <w:pStyle w:val="ReferenciaAPA"/>
      </w:pPr>
      <w:r w:rsidRPr="00367366">
        <w:rPr>
          <w:lang w:val="en-US"/>
        </w:rPr>
        <w:lastRenderedPageBreak/>
        <w:t xml:space="preserve">NerdWallet. (s. f.-d). </w:t>
      </w:r>
      <w:r w:rsidRPr="00367366">
        <w:rPr>
          <w:i/>
          <w:iCs/>
          <w:lang w:val="en-US"/>
        </w:rPr>
        <w:t>SBA loan rates</w:t>
      </w:r>
      <w:r w:rsidRPr="00367366">
        <w:rPr>
          <w:lang w:val="en-US"/>
        </w:rPr>
        <w:t xml:space="preserve">. </w:t>
      </w:r>
      <w:r>
        <w:t xml:space="preserve">Recuperado el 27 de octubre de 2026, de </w:t>
      </w:r>
      <w:hyperlink r:id="rId75" w:history="1">
        <w:r>
          <w:rPr>
            <w:rStyle w:val="Hipervnculo"/>
          </w:rPr>
          <w:t>https://www.nerdwallet.com/article/small-business/sba-loan-rates</w:t>
        </w:r>
      </w:hyperlink>
    </w:p>
    <w:p w14:paraId="3FD06FEE" w14:textId="77777777" w:rsidR="00D20524" w:rsidRDefault="00000000">
      <w:pPr>
        <w:pStyle w:val="ReferenciaAPA"/>
      </w:pPr>
      <w:r>
        <w:t xml:space="preserve">Portafolio. (2025). </w:t>
      </w:r>
      <w:r>
        <w:rPr>
          <w:i/>
          <w:iCs/>
        </w:rPr>
        <w:t>Calificación crediticia de Colombia baja por déficit fiscal y deuda creciente: análisis de S&amp;P y Moody's</w:t>
      </w:r>
      <w:r>
        <w:t xml:space="preserve">. </w:t>
      </w:r>
      <w:hyperlink r:id="rId76" w:history="1">
        <w:r>
          <w:rPr>
            <w:rStyle w:val="Hipervnculo"/>
          </w:rPr>
          <w:t>https://www.portafolio.co/economia/crecimiento/calificacion-crediticia-de-colombia-baja-por-deficit-fiscal-y-deuda-creciente-analisis-de-s-p-y-moody-s-634057</w:t>
        </w:r>
      </w:hyperlink>
    </w:p>
    <w:p w14:paraId="3A62E52A" w14:textId="77777777" w:rsidR="00D20524" w:rsidRDefault="00000000">
      <w:pPr>
        <w:pStyle w:val="ReferenciaAPA"/>
      </w:pPr>
      <w:r>
        <w:t xml:space="preserve">Portafolio. (2026a, 24 de octubre). </w:t>
      </w:r>
      <w:r>
        <w:rPr>
          <w:i/>
          <w:iCs/>
        </w:rPr>
        <w:t>Dólar en Colombia: el alza esperada para el cierre de 2026 y por qué podría subir a $3.600 en 2027, según Credicorp</w:t>
      </w:r>
      <w:r>
        <w:t xml:space="preserve">. </w:t>
      </w:r>
      <w:hyperlink r:id="rId77" w:history="1">
        <w:r>
          <w:rPr>
            <w:rStyle w:val="Hipervnculo"/>
          </w:rPr>
          <w:t>https://www.portafolio.co/economia/finanzas/dolar-en-colombia-el-alza-esperada-para-el-cierre-de-2026-y-por-que-podria-subir-a-3-600-en-2027-segun-credicorp-505043</w:t>
        </w:r>
      </w:hyperlink>
    </w:p>
    <w:p w14:paraId="7EFE3EB7" w14:textId="77777777" w:rsidR="00D20524" w:rsidRDefault="00000000">
      <w:pPr>
        <w:pStyle w:val="ReferenciaAPA"/>
      </w:pPr>
      <w:r>
        <w:t xml:space="preserve">Portafolio. (2026b). </w:t>
      </w:r>
      <w:r>
        <w:rPr>
          <w:i/>
          <w:iCs/>
        </w:rPr>
        <w:t>El Banco de la República aumenta la tasa de interés en 25 puntos básicos y queda en 12,25 %</w:t>
      </w:r>
      <w:r>
        <w:t xml:space="preserve">. </w:t>
      </w:r>
      <w:hyperlink r:id="rId78" w:history="1">
        <w:r>
          <w:rPr>
            <w:rStyle w:val="Hipervnculo"/>
          </w:rPr>
          <w:t>https://www.portafolio.co/economia/finanzas/el-banco-de-la-republica-aumenta-la-tasa-de-interes-en-25-puntos-basicos-y-queda-en-12-503597</w:t>
        </w:r>
      </w:hyperlink>
    </w:p>
    <w:p w14:paraId="7AB8F71A" w14:textId="77777777" w:rsidR="00D20524" w:rsidRDefault="00000000">
      <w:pPr>
        <w:pStyle w:val="ReferenciaAPA"/>
      </w:pPr>
      <w:r>
        <w:t xml:space="preserve">Portafolio. (2026c). </w:t>
      </w:r>
      <w:r>
        <w:rPr>
          <w:i/>
          <w:iCs/>
        </w:rPr>
        <w:t>Inflación en Colombia sigue subiendo: se ubicó en 6,29 % en septiembre</w:t>
      </w:r>
      <w:r>
        <w:t xml:space="preserve">. </w:t>
      </w:r>
      <w:hyperlink r:id="rId79" w:history="1">
        <w:r>
          <w:rPr>
            <w:rStyle w:val="Hipervnculo"/>
          </w:rPr>
          <w:t>https://www.portafolio.co/economia/finanzas/inflacion-en-colombia-sigue-subiendo-se-ubico-en-6-29-en-septiembre-de-504077</w:t>
        </w:r>
      </w:hyperlink>
    </w:p>
    <w:p w14:paraId="24EC8DC5" w14:textId="77777777" w:rsidR="00D20524" w:rsidRDefault="00000000">
      <w:pPr>
        <w:pStyle w:val="ReferenciaAPA"/>
      </w:pPr>
      <w:r>
        <w:t xml:space="preserve">Portafolio. (2026d, 23 de octubre). </w:t>
      </w:r>
      <w:r>
        <w:rPr>
          <w:i/>
          <w:iCs/>
        </w:rPr>
        <w:t>Precio del dólar hoy en Colombia: así cotiza la divisa al cierre de la semana</w:t>
      </w:r>
      <w:r>
        <w:t xml:space="preserve">. </w:t>
      </w:r>
      <w:hyperlink r:id="rId80" w:history="1">
        <w:r>
          <w:rPr>
            <w:rStyle w:val="Hipervnculo"/>
          </w:rPr>
          <w:t>https://www.portafolio.co/economia/finanzas/precio-del-dolar-hoy-en-colombia-asi-cotiza-la-divisa-al-cierre-de-la-semana-504976</w:t>
        </w:r>
      </w:hyperlink>
    </w:p>
    <w:p w14:paraId="220772A5" w14:textId="77777777" w:rsidR="00D20524" w:rsidRDefault="00000000">
      <w:pPr>
        <w:pStyle w:val="ReferenciaAPA"/>
      </w:pPr>
      <w:r>
        <w:t xml:space="preserve">Portafolio. (2026e). </w:t>
      </w:r>
      <w:r>
        <w:rPr>
          <w:i/>
          <w:iCs/>
        </w:rPr>
        <w:t>Una inflación de 6,87 % elevaría las tasas del Banco de la República a 12,50 % al cierre de 2026, advierte estudio</w:t>
      </w:r>
      <w:r>
        <w:t xml:space="preserve">. </w:t>
      </w:r>
      <w:hyperlink r:id="rId81" w:history="1">
        <w:r>
          <w:rPr>
            <w:rStyle w:val="Hipervnculo"/>
          </w:rPr>
          <w:t>https://www.portafolio.co/economia/gobierno/una-inflacion-de-6-87-elevaria-las-tasas-del-banco-de-la-republica-a-12-50-al-cierre-de-2026-advierte-estudio-504862</w:t>
        </w:r>
      </w:hyperlink>
    </w:p>
    <w:p w14:paraId="12C5E0A3" w14:textId="77777777" w:rsidR="00D20524" w:rsidRDefault="00000000">
      <w:pPr>
        <w:pStyle w:val="ReferenciaAPA"/>
      </w:pPr>
      <w:r w:rsidRPr="00367366">
        <w:rPr>
          <w:lang w:val="en-US"/>
        </w:rPr>
        <w:lastRenderedPageBreak/>
        <w:t xml:space="preserve">Pound Sterling Live. (s. f.-a). </w:t>
      </w:r>
      <w:r>
        <w:rPr>
          <w:i/>
          <w:iCs/>
        </w:rPr>
        <w:t>Historial USD/COP 2024</w:t>
      </w:r>
      <w:r>
        <w:t xml:space="preserve">. Recuperado el 27 de octubre de 2026, de </w:t>
      </w:r>
      <w:hyperlink r:id="rId82" w:history="1">
        <w:r>
          <w:rPr>
            <w:rStyle w:val="Hipervnculo"/>
          </w:rPr>
          <w:t>https://www.poundsterlinglive.com/history/USD-COP-2024</w:t>
        </w:r>
      </w:hyperlink>
    </w:p>
    <w:p w14:paraId="4C4785A3" w14:textId="77777777" w:rsidR="00D20524" w:rsidRDefault="00000000">
      <w:pPr>
        <w:pStyle w:val="ReferenciaAPA"/>
      </w:pPr>
      <w:r w:rsidRPr="00367366">
        <w:rPr>
          <w:lang w:val="en-US"/>
        </w:rPr>
        <w:t xml:space="preserve">Pound Sterling Live. (s. f.-b). </w:t>
      </w:r>
      <w:r>
        <w:rPr>
          <w:i/>
          <w:iCs/>
        </w:rPr>
        <w:t>Historial USD/COP 2025</w:t>
      </w:r>
      <w:r>
        <w:t xml:space="preserve">. Recuperado el 27 de octubre de 2026, de </w:t>
      </w:r>
      <w:hyperlink r:id="rId83" w:history="1">
        <w:r>
          <w:rPr>
            <w:rStyle w:val="Hipervnculo"/>
          </w:rPr>
          <w:t>https://www.poundsterlinglive.com/history/USD-COP-2025</w:t>
        </w:r>
      </w:hyperlink>
    </w:p>
    <w:p w14:paraId="6EDE8F6F" w14:textId="77777777" w:rsidR="00D20524" w:rsidRDefault="00000000">
      <w:pPr>
        <w:pStyle w:val="ReferenciaAPA"/>
      </w:pPr>
      <w:proofErr w:type="spellStart"/>
      <w:r w:rsidRPr="00367366">
        <w:rPr>
          <w:lang w:val="en-US"/>
        </w:rPr>
        <w:t>PrimeRates</w:t>
      </w:r>
      <w:proofErr w:type="spellEnd"/>
      <w:r w:rsidRPr="00367366">
        <w:rPr>
          <w:lang w:val="en-US"/>
        </w:rPr>
        <w:t xml:space="preserve">. (2026). </w:t>
      </w:r>
      <w:r w:rsidRPr="00367366">
        <w:rPr>
          <w:i/>
          <w:iCs/>
          <w:lang w:val="en-US"/>
        </w:rPr>
        <w:t>Prime rate rises to 7 percent: Fed's first hike since July 2023</w:t>
      </w:r>
      <w:r w:rsidRPr="00367366">
        <w:rPr>
          <w:lang w:val="en-US"/>
        </w:rPr>
        <w:t xml:space="preserve">. </w:t>
      </w:r>
      <w:hyperlink r:id="rId84" w:history="1">
        <w:r>
          <w:rPr>
            <w:rStyle w:val="Hipervnculo"/>
          </w:rPr>
          <w:t>https://primerates.com/prime-rate-rises-7-percent-fed-first-hike-since-july-2023/</w:t>
        </w:r>
      </w:hyperlink>
    </w:p>
    <w:p w14:paraId="6B3191A1" w14:textId="77777777" w:rsidR="00D20524" w:rsidRDefault="00000000">
      <w:pPr>
        <w:pStyle w:val="ReferenciaAPA"/>
      </w:pPr>
      <w:r w:rsidRPr="00367366">
        <w:rPr>
          <w:lang w:val="en-US"/>
        </w:rPr>
        <w:t xml:space="preserve">Rigzone. (2026, 8 de </w:t>
      </w:r>
      <w:proofErr w:type="spellStart"/>
      <w:r w:rsidRPr="00367366">
        <w:rPr>
          <w:lang w:val="en-US"/>
        </w:rPr>
        <w:t>octubre</w:t>
      </w:r>
      <w:proofErr w:type="spellEnd"/>
      <w:r w:rsidRPr="00367366">
        <w:rPr>
          <w:lang w:val="en-US"/>
        </w:rPr>
        <w:t xml:space="preserve">). </w:t>
      </w:r>
      <w:r w:rsidRPr="00367366">
        <w:rPr>
          <w:i/>
          <w:iCs/>
          <w:lang w:val="en-US"/>
        </w:rPr>
        <w:t>EIA boosts oil price forecast by 5% in 2026, 10% in 2027</w:t>
      </w:r>
      <w:r w:rsidRPr="00367366">
        <w:rPr>
          <w:lang w:val="en-US"/>
        </w:rPr>
        <w:t xml:space="preserve">. </w:t>
      </w:r>
      <w:hyperlink r:id="rId85" w:history="1">
        <w:r>
          <w:rPr>
            <w:rStyle w:val="Hipervnculo"/>
          </w:rPr>
          <w:t>https://www.rigzone.com/news/eia_boosts_oil_price_forecast_by_5_in_2026_10_in_2027-08-oct-2026-184805-article/</w:t>
        </w:r>
      </w:hyperlink>
    </w:p>
    <w:p w14:paraId="67ACB483" w14:textId="77777777" w:rsidR="00D20524" w:rsidRDefault="00000000">
      <w:pPr>
        <w:pStyle w:val="ReferenciaAPA"/>
      </w:pPr>
      <w:r>
        <w:t xml:space="preserve">Superintendencia Financiera de Colombia. (s. f.). </w:t>
      </w:r>
      <w:r>
        <w:rPr>
          <w:i/>
          <w:iCs/>
        </w:rPr>
        <w:t>Histórico TRM para estados financieros</w:t>
      </w:r>
      <w:r>
        <w:t xml:space="preserve">. Recuperado el 27 de octubre de 2026, de </w:t>
      </w:r>
      <w:hyperlink r:id="rId86" w:history="1">
        <w:r>
          <w:rPr>
            <w:rStyle w:val="Hipervnculo"/>
          </w:rPr>
          <w:t>https://www.superfinanciera.gov.co/publicaciones/9332/informes-y-cifrascifrasestablecimientos-de-creditoinformacion-periodicamensualtasas-de-referencia-mensualhistorico-trm-para-estados-financieros-9332/</w:t>
        </w:r>
      </w:hyperlink>
    </w:p>
    <w:p w14:paraId="6795FC80" w14:textId="77777777" w:rsidR="00D20524" w:rsidRDefault="00000000">
      <w:pPr>
        <w:pStyle w:val="ReferenciaAPA"/>
      </w:pPr>
      <w:r w:rsidRPr="00367366">
        <w:rPr>
          <w:lang w:val="en-US"/>
        </w:rPr>
        <w:t xml:space="preserve">U.S. Bank. (s. f.). </w:t>
      </w:r>
      <w:r w:rsidRPr="00367366">
        <w:rPr>
          <w:i/>
          <w:iCs/>
          <w:lang w:val="en-US"/>
        </w:rPr>
        <w:t>SBA loans</w:t>
      </w:r>
      <w:r w:rsidRPr="00367366">
        <w:rPr>
          <w:lang w:val="en-US"/>
        </w:rPr>
        <w:t xml:space="preserve">. </w:t>
      </w:r>
      <w:r>
        <w:t xml:space="preserve">Recuperado el 27 de octubre de 2026, de </w:t>
      </w:r>
      <w:hyperlink r:id="rId87" w:history="1">
        <w:r>
          <w:rPr>
            <w:rStyle w:val="Hipervnculo"/>
          </w:rPr>
          <w:t>https://www.usbank.com/business-banking/business-lending/sba-loans.html</w:t>
        </w:r>
      </w:hyperlink>
    </w:p>
    <w:p w14:paraId="00049E75" w14:textId="77777777" w:rsidR="00D20524" w:rsidRDefault="00000000">
      <w:pPr>
        <w:pStyle w:val="ReferenciaAPA"/>
      </w:pPr>
      <w:r w:rsidRPr="00367366">
        <w:rPr>
          <w:lang w:val="en-US"/>
        </w:rPr>
        <w:t xml:space="preserve">U.S. Bank. (2026a). </w:t>
      </w:r>
      <w:r w:rsidRPr="00367366">
        <w:rPr>
          <w:i/>
          <w:iCs/>
          <w:lang w:val="en-US"/>
        </w:rPr>
        <w:t>U.S. Bank boosts SBA lending to a record $943 million in 7(a) loans</w:t>
      </w:r>
      <w:r w:rsidRPr="00367366">
        <w:rPr>
          <w:lang w:val="en-US"/>
        </w:rPr>
        <w:t xml:space="preserve">. </w:t>
      </w:r>
      <w:hyperlink r:id="rId88" w:history="1">
        <w:r>
          <w:rPr>
            <w:rStyle w:val="Hipervnculo"/>
          </w:rPr>
          <w:t>https://www.usbank.com/about-us-bank/news-and-stories/article-library/us-bank-boosts-sba-lending-to-a-record-943-million-in-7a-loans.html</w:t>
        </w:r>
      </w:hyperlink>
    </w:p>
    <w:p w14:paraId="4C3FADD1" w14:textId="77777777" w:rsidR="00D20524" w:rsidRDefault="00000000">
      <w:pPr>
        <w:pStyle w:val="ReferenciaAPA"/>
      </w:pPr>
      <w:r>
        <w:t xml:space="preserve">U.S. Bank. (2026b, 16 de septiembre). </w:t>
      </w:r>
      <w:r w:rsidRPr="00367366">
        <w:rPr>
          <w:i/>
          <w:iCs/>
          <w:lang w:val="en-US"/>
        </w:rPr>
        <w:t>U.S. Bank increases prime lending rate to 7.00 percent</w:t>
      </w:r>
      <w:r w:rsidRPr="00367366">
        <w:rPr>
          <w:lang w:val="en-US"/>
        </w:rPr>
        <w:t xml:space="preserve"> [</w:t>
      </w:r>
      <w:proofErr w:type="spellStart"/>
      <w:r w:rsidRPr="00367366">
        <w:rPr>
          <w:lang w:val="en-US"/>
        </w:rPr>
        <w:t>Comunicado</w:t>
      </w:r>
      <w:proofErr w:type="spellEnd"/>
      <w:r w:rsidRPr="00367366">
        <w:rPr>
          <w:lang w:val="en-US"/>
        </w:rPr>
        <w:t xml:space="preserve"> de </w:t>
      </w:r>
      <w:proofErr w:type="spellStart"/>
      <w:r w:rsidRPr="00367366">
        <w:rPr>
          <w:lang w:val="en-US"/>
        </w:rPr>
        <w:t>prensa</w:t>
      </w:r>
      <w:proofErr w:type="spellEnd"/>
      <w:r w:rsidRPr="00367366">
        <w:rPr>
          <w:lang w:val="en-US"/>
        </w:rPr>
        <w:t xml:space="preserve">]. </w:t>
      </w:r>
      <w:hyperlink r:id="rId89" w:history="1">
        <w:r>
          <w:rPr>
            <w:rStyle w:val="Hipervnculo"/>
          </w:rPr>
          <w:t>https://s203.q4cdn.com/711684571/files/doc_news/U-S--Bank-Increases-Prime-Lending-Rate-to-7-00-Percent-2026.pdf</w:t>
        </w:r>
      </w:hyperlink>
    </w:p>
    <w:p w14:paraId="41FC176C" w14:textId="77777777" w:rsidR="00D20524" w:rsidRDefault="00000000">
      <w:pPr>
        <w:pStyle w:val="ReferenciaAPA"/>
      </w:pPr>
      <w:r w:rsidRPr="00367366">
        <w:rPr>
          <w:lang w:val="en-US"/>
        </w:rPr>
        <w:lastRenderedPageBreak/>
        <w:t xml:space="preserve">U.S. Small Business Administration. </w:t>
      </w:r>
      <w:r>
        <w:t xml:space="preserve">(s. f.). </w:t>
      </w:r>
      <w:r>
        <w:rPr>
          <w:i/>
          <w:iCs/>
        </w:rPr>
        <w:t>Términos, condiciones y elegibilidad</w:t>
      </w:r>
      <w:r>
        <w:t xml:space="preserve">. Recuperado el 27 de octubre de 2026, de </w:t>
      </w:r>
      <w:hyperlink r:id="rId90" w:history="1">
        <w:r>
          <w:rPr>
            <w:rStyle w:val="Hipervnculo"/>
          </w:rPr>
          <w:t>https://www.sba.gov/es/node/8664</w:t>
        </w:r>
      </w:hyperlink>
    </w:p>
    <w:p w14:paraId="7F1B7288" w14:textId="77777777" w:rsidR="00D20524" w:rsidRDefault="00000000">
      <w:pPr>
        <w:pStyle w:val="ReferenciaAPA"/>
      </w:pPr>
      <w:r w:rsidRPr="00367366">
        <w:rPr>
          <w:lang w:val="en-US"/>
        </w:rPr>
        <w:t xml:space="preserve">University of Wisconsin–Stevens Point. (2026). </w:t>
      </w:r>
      <w:r w:rsidRPr="00367366">
        <w:rPr>
          <w:i/>
          <w:iCs/>
          <w:lang w:val="en-US"/>
        </w:rPr>
        <w:t>7(a) and 504 loan programs</w:t>
      </w:r>
      <w:r w:rsidRPr="00367366">
        <w:rPr>
          <w:lang w:val="en-US"/>
        </w:rPr>
        <w:t xml:space="preserve"> [</w:t>
      </w:r>
      <w:proofErr w:type="spellStart"/>
      <w:r w:rsidRPr="00367366">
        <w:rPr>
          <w:lang w:val="en-US"/>
        </w:rPr>
        <w:t>Diapositivas</w:t>
      </w:r>
      <w:proofErr w:type="spellEnd"/>
      <w:r w:rsidRPr="00367366">
        <w:rPr>
          <w:lang w:val="en-US"/>
        </w:rPr>
        <w:t xml:space="preserve">]. </w:t>
      </w:r>
      <w:hyperlink r:id="rId91" w:history="1">
        <w:r>
          <w:rPr>
            <w:rStyle w:val="Hipervnculo"/>
          </w:rPr>
          <w:t>https://www.uwsp.edu/continuing-education-and-outreach/wp-content/uploads/sites/68/2026/05/7-504-Loan-Program-Slides.pdf</w:t>
        </w:r>
      </w:hyperlink>
    </w:p>
    <w:p w14:paraId="5B05C59D" w14:textId="77777777" w:rsidR="00D20524" w:rsidRDefault="00000000">
      <w:pPr>
        <w:pStyle w:val="ReferenciaAPA"/>
      </w:pPr>
      <w:r>
        <w:t xml:space="preserve">Valora Analitik. (2026, 11 de octubre). </w:t>
      </w:r>
      <w:r>
        <w:rPr>
          <w:i/>
          <w:iCs/>
        </w:rPr>
        <w:t>Dólar en Colombia llegaría a $4.000</w:t>
      </w:r>
      <w:r>
        <w:t xml:space="preserve">. Yahoo Noticias. </w:t>
      </w:r>
      <w:hyperlink r:id="rId92" w:history="1">
        <w:r>
          <w:rPr>
            <w:rStyle w:val="Hipervnculo"/>
          </w:rPr>
          <w:t>https://es-us.noticias.yahoo.com/d%C3%B3lar-colombia-llegar%C3%ADa-4-000-170000304.html</w:t>
        </w:r>
      </w:hyperlink>
    </w:p>
    <w:p w14:paraId="077AFBC5" w14:textId="77777777" w:rsidR="00D20524" w:rsidRDefault="00000000">
      <w:pPr>
        <w:pStyle w:val="ReferenciaAPA"/>
      </w:pPr>
      <w:r>
        <w:t xml:space="preserve">ValutaFX. (s. f.). </w:t>
      </w:r>
      <w:r>
        <w:rPr>
          <w:i/>
          <w:iCs/>
        </w:rPr>
        <w:t>Historial COP/USD 2026</w:t>
      </w:r>
      <w:r>
        <w:t xml:space="preserve">. Recuperado el 27 de octubre de 2026, de </w:t>
      </w:r>
      <w:hyperlink r:id="rId93" w:history="1">
        <w:r>
          <w:rPr>
            <w:rStyle w:val="Hipervnculo"/>
          </w:rPr>
          <w:t>https://www.valutafx.com/history/cop-usd-2026</w:t>
        </w:r>
      </w:hyperlink>
    </w:p>
    <w:p w14:paraId="14195EFB" w14:textId="77777777" w:rsidR="00D20524" w:rsidRDefault="00000000">
      <w:pPr>
        <w:pStyle w:val="ReferenciaAPA"/>
      </w:pPr>
      <w:r>
        <w:t xml:space="preserve">Wilkinson PC. (s. f.). </w:t>
      </w:r>
      <w:r>
        <w:rPr>
          <w:i/>
          <w:iCs/>
        </w:rPr>
        <w:t>Dólar hoy: TRM certificada por la Superintendencia Financiera</w:t>
      </w:r>
      <w:r>
        <w:t xml:space="preserve">. Recuperado el 27 de octubre de 2026, de </w:t>
      </w:r>
      <w:hyperlink r:id="rId94" w:history="1">
        <w:r>
          <w:rPr>
            <w:rStyle w:val="Hipervnculo"/>
          </w:rPr>
          <w:t>https://dolar.wilkinsonpc.com.co/</w:t>
        </w:r>
      </w:hyperlink>
    </w:p>
    <w:p w14:paraId="2C5D6F51" w14:textId="77777777" w:rsidR="00D20524" w:rsidRDefault="00000000">
      <w:pPr>
        <w:pStyle w:val="ReferenciaAPA"/>
      </w:pPr>
      <w:r>
        <w:t xml:space="preserve">XTB. (2025). </w:t>
      </w:r>
      <w:r>
        <w:rPr>
          <w:i/>
          <w:iCs/>
        </w:rPr>
        <w:t>Fitch rebaja la calificación de Colombia a BB y alerta por déficits fiscales persistentes</w:t>
      </w:r>
      <w:r>
        <w:t xml:space="preserve">. </w:t>
      </w:r>
      <w:hyperlink r:id="rId95" w:history="1">
        <w:r>
          <w:rPr>
            <w:rStyle w:val="Hipervnculo"/>
          </w:rPr>
          <w:t>https://www.xtb.com/lat/analisis-y-noticias/analisis-de-mercado/fitch-rebaja-la-calificacion-de-colombia-a-bb-y-alerta-por-deficits-fiscales-persistentes</w:t>
        </w:r>
      </w:hyperlink>
    </w:p>
    <w:sectPr w:rsidR="00D20524">
      <w:headerReference w:type="default" r:id="rId9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DD2F" w14:textId="77777777" w:rsidR="00C75F64" w:rsidRDefault="00C75F64">
      <w:r>
        <w:separator/>
      </w:r>
    </w:p>
  </w:endnote>
  <w:endnote w:type="continuationSeparator" w:id="0">
    <w:p w14:paraId="64C58D86" w14:textId="77777777" w:rsidR="00C75F64" w:rsidRDefault="00C75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4FB0" w14:textId="77777777" w:rsidR="00C75F64" w:rsidRDefault="00C75F64">
      <w:r>
        <w:separator/>
      </w:r>
    </w:p>
  </w:footnote>
  <w:footnote w:type="continuationSeparator" w:id="0">
    <w:p w14:paraId="37B72E31" w14:textId="77777777" w:rsidR="00C75F64" w:rsidRDefault="00C75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5E80" w14:textId="77777777" w:rsidR="00D20524"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47714"/>
    <w:multiLevelType w:val="hybridMultilevel"/>
    <w:tmpl w:val="3B327FAA"/>
    <w:lvl w:ilvl="0" w:tplc="26A041E0">
      <w:start w:val="1"/>
      <w:numFmt w:val="bullet"/>
      <w:lvlText w:val="•"/>
      <w:lvlJc w:val="left"/>
      <w:pPr>
        <w:ind w:left="540" w:hanging="270"/>
      </w:pPr>
    </w:lvl>
    <w:lvl w:ilvl="1" w:tplc="B86A69E8">
      <w:numFmt w:val="decimal"/>
      <w:lvlText w:val=""/>
      <w:lvlJc w:val="left"/>
    </w:lvl>
    <w:lvl w:ilvl="2" w:tplc="5270FB7E">
      <w:numFmt w:val="decimal"/>
      <w:lvlText w:val=""/>
      <w:lvlJc w:val="left"/>
    </w:lvl>
    <w:lvl w:ilvl="3" w:tplc="CAA6F9F6">
      <w:numFmt w:val="decimal"/>
      <w:lvlText w:val=""/>
      <w:lvlJc w:val="left"/>
    </w:lvl>
    <w:lvl w:ilvl="4" w:tplc="0BAE938E">
      <w:numFmt w:val="decimal"/>
      <w:lvlText w:val=""/>
      <w:lvlJc w:val="left"/>
    </w:lvl>
    <w:lvl w:ilvl="5" w:tplc="2DE898CC">
      <w:numFmt w:val="decimal"/>
      <w:lvlText w:val=""/>
      <w:lvlJc w:val="left"/>
    </w:lvl>
    <w:lvl w:ilvl="6" w:tplc="31F035CE">
      <w:numFmt w:val="decimal"/>
      <w:lvlText w:val=""/>
      <w:lvlJc w:val="left"/>
    </w:lvl>
    <w:lvl w:ilvl="7" w:tplc="8AC66724">
      <w:numFmt w:val="decimal"/>
      <w:lvlText w:val=""/>
      <w:lvlJc w:val="left"/>
    </w:lvl>
    <w:lvl w:ilvl="8" w:tplc="345C2488">
      <w:numFmt w:val="decimal"/>
      <w:lvlText w:val=""/>
      <w:lvlJc w:val="left"/>
    </w:lvl>
  </w:abstractNum>
  <w:abstractNum w:abstractNumId="1" w15:restartNumberingAfterBreak="0">
    <w:nsid w:val="4E5E31AF"/>
    <w:multiLevelType w:val="hybridMultilevel"/>
    <w:tmpl w:val="7E6C803A"/>
    <w:lvl w:ilvl="0" w:tplc="D1C61F8E" w:tentative="1">
      <w:start w:val="1"/>
      <w:numFmt w:val="bullet"/>
      <w:lvlText w:val="●"/>
      <w:lvlJc w:val="left"/>
      <w:pPr>
        <w:ind w:left="720" w:hanging="360"/>
      </w:pPr>
    </w:lvl>
    <w:lvl w:ilvl="1" w:tplc="F7F07150" w:tentative="1">
      <w:start w:val="1"/>
      <w:numFmt w:val="bullet"/>
      <w:lvlText w:val="○"/>
      <w:lvlJc w:val="left"/>
      <w:pPr>
        <w:ind w:left="1440" w:hanging="360"/>
      </w:pPr>
    </w:lvl>
    <w:lvl w:ilvl="2" w:tplc="99A61460" w:tentative="1">
      <w:start w:val="1"/>
      <w:numFmt w:val="bullet"/>
      <w:lvlText w:val="■"/>
      <w:lvlJc w:val="left"/>
      <w:pPr>
        <w:ind w:left="2160" w:hanging="360"/>
      </w:pPr>
    </w:lvl>
    <w:lvl w:ilvl="3" w:tplc="EC66CE46" w:tentative="1">
      <w:start w:val="1"/>
      <w:numFmt w:val="bullet"/>
      <w:lvlText w:val="●"/>
      <w:lvlJc w:val="left"/>
      <w:pPr>
        <w:ind w:left="2880" w:hanging="360"/>
      </w:pPr>
    </w:lvl>
    <w:lvl w:ilvl="4" w:tplc="F7E25856" w:tentative="1">
      <w:start w:val="1"/>
      <w:numFmt w:val="bullet"/>
      <w:lvlText w:val="○"/>
      <w:lvlJc w:val="left"/>
      <w:pPr>
        <w:ind w:left="3600" w:hanging="360"/>
      </w:pPr>
    </w:lvl>
    <w:lvl w:ilvl="5" w:tplc="521A0326" w:tentative="1">
      <w:start w:val="1"/>
      <w:numFmt w:val="bullet"/>
      <w:lvlText w:val="■"/>
      <w:lvlJc w:val="left"/>
      <w:pPr>
        <w:ind w:left="4320" w:hanging="360"/>
      </w:pPr>
    </w:lvl>
    <w:lvl w:ilvl="6" w:tplc="327064CE" w:tentative="1">
      <w:start w:val="1"/>
      <w:numFmt w:val="bullet"/>
      <w:lvlText w:val="●"/>
      <w:lvlJc w:val="left"/>
      <w:pPr>
        <w:ind w:left="5040" w:hanging="360"/>
      </w:pPr>
    </w:lvl>
    <w:lvl w:ilvl="7" w:tplc="A9F6C330" w:tentative="1">
      <w:start w:val="1"/>
      <w:numFmt w:val="bullet"/>
      <w:lvlText w:val="●"/>
      <w:lvlJc w:val="left"/>
      <w:pPr>
        <w:ind w:left="5760" w:hanging="360"/>
      </w:pPr>
    </w:lvl>
    <w:lvl w:ilvl="8" w:tplc="7ACC4284" w:tentative="1">
      <w:start w:val="1"/>
      <w:numFmt w:val="bullet"/>
      <w:lvlText w:val="●"/>
      <w:lvlJc w:val="left"/>
      <w:pPr>
        <w:ind w:left="6480" w:hanging="360"/>
      </w:pPr>
    </w:lvl>
  </w:abstractNum>
  <w:num w:numId="1" w16cid:durableId="566495416">
    <w:abstractNumId w:val="1"/>
    <w:lvlOverride w:ilvl="0">
      <w:startOverride w:val="1"/>
    </w:lvlOverride>
  </w:num>
  <w:num w:numId="2" w16cid:durableId="586573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FD2"/>
    <w:rsid w:val="000655C1"/>
    <w:rsid w:val="00066BCA"/>
    <w:rsid w:val="00085B44"/>
    <w:rsid w:val="00176BC0"/>
    <w:rsid w:val="001E1DA8"/>
    <w:rsid w:val="00276952"/>
    <w:rsid w:val="00276E2D"/>
    <w:rsid w:val="002A3EA9"/>
    <w:rsid w:val="00330569"/>
    <w:rsid w:val="00355DEC"/>
    <w:rsid w:val="00367366"/>
    <w:rsid w:val="003A5A36"/>
    <w:rsid w:val="003B6EC5"/>
    <w:rsid w:val="004B36C6"/>
    <w:rsid w:val="00527B3F"/>
    <w:rsid w:val="00645A5D"/>
    <w:rsid w:val="0073118F"/>
    <w:rsid w:val="007D7D87"/>
    <w:rsid w:val="008A3F21"/>
    <w:rsid w:val="008B78F8"/>
    <w:rsid w:val="008B7A05"/>
    <w:rsid w:val="00905EDB"/>
    <w:rsid w:val="00970D57"/>
    <w:rsid w:val="009D2FD2"/>
    <w:rsid w:val="009E5568"/>
    <w:rsid w:val="00AB2C7E"/>
    <w:rsid w:val="00BB24C6"/>
    <w:rsid w:val="00C22745"/>
    <w:rsid w:val="00C75F64"/>
    <w:rsid w:val="00D17698"/>
    <w:rsid w:val="00D20524"/>
    <w:rsid w:val="00D34627"/>
    <w:rsid w:val="00D93FCC"/>
    <w:rsid w:val="00E627D8"/>
    <w:rsid w:val="00E95501"/>
    <w:rsid w:val="00F570AD"/>
    <w:rsid w:val="00F84575"/>
    <w:rsid w:val="00FA7D83"/>
    <w:rsid w:val="00FC5C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0CDD"/>
  <w15:docId w15:val="{A8E64AC6-7B06-472A-80B3-CBBC6C6D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APAnivel1">
    <w:name w:val="Título APA nivel 1"/>
    <w:basedOn w:val="Normal"/>
    <w:next w:val="Normal"/>
    <w:uiPriority w:val="9"/>
    <w:qFormat/>
    <w:pPr>
      <w:keepNext/>
      <w:keepLines/>
      <w:ind w:firstLine="0"/>
      <w:jc w:val="center"/>
    </w:pPr>
    <w:rPr>
      <w:b/>
      <w:bCs/>
      <w:color w:val="0F4761"/>
    </w:rPr>
  </w:style>
  <w:style w:type="paragraph" w:customStyle="1" w:styleId="TtuloAPAnivel2">
    <w:name w:val="Título APA nivel 2"/>
    <w:basedOn w:val="Normal"/>
    <w:next w:val="Normal"/>
    <w:uiPriority w:val="9"/>
    <w:qFormat/>
    <w:pPr>
      <w:keepNext/>
      <w:keepLines/>
      <w:ind w:firstLine="0"/>
    </w:pPr>
    <w:rPr>
      <w:b/>
      <w:bCs/>
      <w:color w:val="0F4761"/>
    </w:rPr>
  </w:style>
  <w:style w:type="paragraph" w:customStyle="1" w:styleId="TtuloAPAnivel3">
    <w:name w:val="Título APA nivel 3"/>
    <w:basedOn w:val="Normal"/>
    <w:next w:val="Normal"/>
    <w:uiPriority w:val="9"/>
    <w:qFormat/>
    <w:pPr>
      <w:keepNext/>
      <w:keepLines/>
      <w:ind w:firstLine="0"/>
    </w:pPr>
    <w:rPr>
      <w:b/>
      <w:bCs/>
      <w:i/>
      <w:iCs/>
      <w:color w:val="0F4761"/>
    </w:rPr>
  </w:style>
  <w:style w:type="paragraph" w:customStyle="1" w:styleId="Fuerte1">
    <w:name w:val="Fuerte1"/>
    <w:basedOn w:val="Normal"/>
    <w:next w:val="Normal"/>
    <w:qFormat/>
    <w:rPr>
      <w:b/>
      <w:bCs/>
    </w:rPr>
  </w:style>
  <w:style w:type="paragraph" w:styleId="Prrafodelista">
    <w:name w:val="List Paragraph"/>
    <w:basedOn w:val="Normal"/>
    <w:qFormat/>
    <w:pPr>
      <w:ind w:left="720" w:hanging="3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tuloAPA">
    <w:name w:val="Título APA"/>
    <w:basedOn w:val="Normal"/>
    <w:next w:val="Normal"/>
    <w:uiPriority w:val="9"/>
    <w:qFormat/>
    <w:pPr>
      <w:keepNext/>
      <w:keepLines/>
      <w:ind w:firstLine="0"/>
      <w:jc w:val="center"/>
    </w:pPr>
    <w:rPr>
      <w:b/>
      <w:bCs/>
      <w:color w:val="0F4761"/>
    </w:rPr>
  </w:style>
  <w:style w:type="paragraph" w:customStyle="1" w:styleId="Nota">
    <w:name w:val="Nota"/>
    <w:basedOn w:val="Normal"/>
    <w:pPr>
      <w:spacing w:before="120" w:after="240"/>
      <w:ind w:firstLine="0"/>
    </w:pPr>
    <w:rPr>
      <w:sz w:val="20"/>
      <w:szCs w:val="20"/>
    </w:rPr>
  </w:style>
  <w:style w:type="character" w:styleId="Hipervnculovisitado">
    <w:name w:val="FollowedHyperlink"/>
    <w:basedOn w:val="Fuentedeprrafopredeter"/>
    <w:uiPriority w:val="99"/>
    <w:semiHidden/>
    <w:unhideWhenUsed/>
    <w:rsid w:val="00FC5CB9"/>
    <w:rPr>
      <w:color w:val="954F72" w:themeColor="followedHyperlink"/>
      <w:u w:val="single"/>
    </w:rPr>
  </w:style>
  <w:style w:type="paragraph" w:customStyle="1" w:styleId="Tablacelda">
    <w:name w:val="Tabla celda"/>
    <w:basedOn w:val="Normal"/>
    <w:pPr>
      <w:spacing w:line="240" w:lineRule="auto"/>
      <w:ind w:firstLine="0"/>
    </w:pPr>
    <w:rPr>
      <w:sz w:val="20"/>
      <w:szCs w:val="20"/>
    </w:rPr>
  </w:style>
  <w:style w:type="paragraph" w:customStyle="1" w:styleId="Rtulotablaofigura">
    <w:name w:val="Rótulo tabla o figura"/>
    <w:basedOn w:val="Normal"/>
    <w:pPr>
      <w:keepNext/>
      <w:spacing w:before="240"/>
      <w:ind w:firstLine="0"/>
    </w:pPr>
  </w:style>
  <w:style w:type="paragraph" w:customStyle="1" w:styleId="Ttulotablaofigura">
    <w:name w:val="Título tabla o figura"/>
    <w:basedOn w:val="Normal"/>
    <w:pPr>
      <w:keepNext/>
      <w:ind w:firstLine="0"/>
    </w:pPr>
    <w:rPr>
      <w:i/>
      <w:iCs/>
    </w:rPr>
  </w:style>
  <w:style w:type="paragraph" w:customStyle="1" w:styleId="ReferenciaAPA">
    <w:name w:val="Referencia APA"/>
    <w:basedOn w:val="Normal"/>
    <w:pPr>
      <w:ind w:left="720" w:hanging="720"/>
    </w:pPr>
  </w:style>
  <w:style w:type="paragraph" w:customStyle="1" w:styleId="PortadaAPA">
    <w:name w:val="Portada APA"/>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ortafolio.co/economia/crecimiento/calificacion-crediticia-de-colombia-baja-por-deficit-fiscal-y-deuda-creciente-analisis-de-s-p-y-moody-s-634057" TargetMode="External"/><Relationship Id="rId21" Type="http://schemas.openxmlformats.org/officeDocument/2006/relationships/hyperlink" Target="https://www.bloomberglinea.com/latinoamerica/colombia/deficit-externo-de-colombia-se-amplia-a-us5981-millones-en-el-primer-semestre-de-2026/" TargetMode="External"/><Relationship Id="rId42" Type="http://schemas.openxmlformats.org/officeDocument/2006/relationships/hyperlink" Target="https://www.poundsterlinglive.com/history/USD-COP-2024" TargetMode="External"/><Relationship Id="rId47" Type="http://schemas.openxmlformats.org/officeDocument/2006/relationships/hyperlink" Target="https://totoro.banrep.gov.co/estadisticas-economicas/" TargetMode="External"/><Relationship Id="rId63" Type="http://schemas.openxmlformats.org/officeDocument/2006/relationships/hyperlink" Target="https://fred.stlouisfed.org/series/COLCCUSSP02STQ" TargetMode="External"/><Relationship Id="rId68" Type="http://schemas.openxmlformats.org/officeDocument/2006/relationships/hyperlink" Target="https://www.larepublica.co/tes" TargetMode="External"/><Relationship Id="rId84" Type="http://schemas.openxmlformats.org/officeDocument/2006/relationships/hyperlink" Target="https://primerates.com/prime-rate-rises-7-percent-fed-first-hike-since-july-2023/" TargetMode="External"/><Relationship Id="rId89" Type="http://schemas.openxmlformats.org/officeDocument/2006/relationships/hyperlink" Target="https://s203.q4cdn.com/711684571/files/doc_news/U-S--Bank-Increases-Prime-Lending-Rate-to-7-00-Percent-2026.pdf" TargetMode="External"/><Relationship Id="rId16" Type="http://schemas.openxmlformats.org/officeDocument/2006/relationships/hyperlink" Target="https://www.global66.com/blog/dolar-hoy-colombia-analisis-semanal-16-octubre-2026/" TargetMode="External"/><Relationship Id="rId11" Type="http://schemas.openxmlformats.org/officeDocument/2006/relationships/hyperlink" Target="https://www.portafolio.co/economia/finanzas/el-banco-de-la-republica-aumenta-la-tasa-de-interes-en-25-puntos-basicos-y-queda-en-12-503597" TargetMode="External"/><Relationship Id="rId32" Type="http://schemas.openxmlformats.org/officeDocument/2006/relationships/hyperlink" Target="https://es-us.noticias.yahoo.com/d%C3%B3lar-colombia-llegar%C3%ADa-4-000-170000304.html" TargetMode="External"/><Relationship Id="rId37" Type="http://schemas.openxmlformats.org/officeDocument/2006/relationships/hyperlink" Target="https://www.uwsp.edu/continuing-education-and-outreach/wp-content/uploads/sites/68/2026/05/7-504-Loan-Program-Slides.pdf" TargetMode="External"/><Relationship Id="rId53" Type="http://schemas.openxmlformats.org/officeDocument/2006/relationships/hyperlink" Target="https://www.federalreserve.gov/releases/h15/" TargetMode="External"/><Relationship Id="rId58" Type="http://schemas.openxmlformats.org/officeDocument/2006/relationships/hyperlink" Target="https://www.crowdfundedwealth.com/articles/sba-504-loan-rates-2026" TargetMode="External"/><Relationship Id="rId74" Type="http://schemas.openxmlformats.org/officeDocument/2006/relationships/hyperlink" Target="https://www.nerdwallet.com/business/loans/learn/sba-lenders" TargetMode="External"/><Relationship Id="rId79" Type="http://schemas.openxmlformats.org/officeDocument/2006/relationships/hyperlink" Target="https://www.portafolio.co/economia/finanzas/inflacion-en-colombia-sigue-subiendo-se-ubico-en-6-29-en-septiembre-de-504077" TargetMode="External"/><Relationship Id="rId5" Type="http://schemas.openxmlformats.org/officeDocument/2006/relationships/footnotes" Target="footnotes.xml"/><Relationship Id="rId90" Type="http://schemas.openxmlformats.org/officeDocument/2006/relationships/hyperlink" Target="https://www.sba.gov/es/node/8664" TargetMode="External"/><Relationship Id="rId95" Type="http://schemas.openxmlformats.org/officeDocument/2006/relationships/hyperlink" Target="https://www.xtb.com/lat/analisis-y-noticias/analisis-de-mercado/fitch-rebaja-la-calificacion-de-colombia-a-bb-y-alerta-por-deficits-fiscales-persistentes" TargetMode="External"/><Relationship Id="rId22" Type="http://schemas.openxmlformats.org/officeDocument/2006/relationships/hyperlink" Target="https://es-us.noticias.yahoo.com/d%C3%B3lar-colombia-llegar%C3%ADa-4-000-170000304.html" TargetMode="External"/><Relationship Id="rId27" Type="http://schemas.openxmlformats.org/officeDocument/2006/relationships/hyperlink" Target="https://es-us.noticias.yahoo.com/d%C3%B3lar-colombia-llegar%C3%ADa-4-000-170000304.html" TargetMode="External"/><Relationship Id="rId43" Type="http://schemas.openxmlformats.org/officeDocument/2006/relationships/hyperlink" Target="https://www.valutafx.com/history/cop-usd-2026" TargetMode="External"/><Relationship Id="rId48" Type="http://schemas.openxmlformats.org/officeDocument/2006/relationships/hyperlink" Target="https://www.federalreserve.gov/releases/h15/" TargetMode="External"/><Relationship Id="rId64" Type="http://schemas.openxmlformats.org/officeDocument/2006/relationships/hyperlink" Target="https://forexfundamentals.com/economic-calendar/us-cpi/2026-10-14" TargetMode="External"/><Relationship Id="rId69" Type="http://schemas.openxmlformats.org/officeDocument/2006/relationships/hyperlink" Target="https://www.larepublica.co/economia/el-efecto-electoral-llevo-el-riesgo-pais-a-minimos-no-registrados-desde-2021-4438721" TargetMode="External"/><Relationship Id="rId80" Type="http://schemas.openxmlformats.org/officeDocument/2006/relationships/hyperlink" Target="https://www.portafolio.co/economia/finanzas/precio-del-dolar-hoy-en-colombia-asi-cotiza-la-divisa-al-cierre-de-la-semana-504976" TargetMode="External"/><Relationship Id="rId85" Type="http://schemas.openxmlformats.org/officeDocument/2006/relationships/hyperlink" Target="https://www.rigzone.com/news/eia_boosts_oil_price_forecast_by_5_in_2026_10_in_2027-08-oct-2026-184805-article/" TargetMode="External"/><Relationship Id="rId3" Type="http://schemas.openxmlformats.org/officeDocument/2006/relationships/settings" Target="settings.xml"/><Relationship Id="rId12" Type="http://schemas.openxmlformats.org/officeDocument/2006/relationships/hyperlink" Target="https://www.chase.com/personal/investments/learning-and-insights/article/federal-reserve-raises-rates-officials-signal-one-more-hike-in-2026" TargetMode="External"/><Relationship Id="rId17" Type="http://schemas.openxmlformats.org/officeDocument/2006/relationships/hyperlink" Target="https://www.portafolio.co/economia/finanzas/inflacion-en-colombia-sigue-subiendo-se-ubico-en-6-29-en-septiembre-de-504077" TargetMode="External"/><Relationship Id="rId25" Type="http://schemas.openxmlformats.org/officeDocument/2006/relationships/hyperlink" Target="https://www.xtb.com/lat/analisis-y-noticias/analisis-de-mercado/fitch-rebaja-la-calificacion-de-colombia-a-bb-y-alerta-por-deficits-fiscales-persistentes" TargetMode="External"/><Relationship Id="rId33" Type="http://schemas.openxmlformats.org/officeDocument/2006/relationships/hyperlink" Target="https://diariodelhuila.com/proyeccion-dolar-colombia-2026/" TargetMode="External"/><Relationship Id="rId38" Type="http://schemas.openxmlformats.org/officeDocument/2006/relationships/hyperlink" Target="https://www.usbank.com/business-banking/business-lending/sba-loans.html" TargetMode="External"/><Relationship Id="rId46" Type="http://schemas.openxmlformats.org/officeDocument/2006/relationships/hyperlink" Target="https://cbonds.com.tr/indexes/215883/" TargetMode="External"/><Relationship Id="rId59" Type="http://schemas.openxmlformats.org/officeDocument/2006/relationships/hyperlink" Target="https://diariodelhuila.com/proyeccion-dolar-colombia-2026/" TargetMode="External"/><Relationship Id="rId67" Type="http://schemas.openxmlformats.org/officeDocument/2006/relationships/hyperlink" Target="https://www.infobae.com/colombia/2026/10/26/dolar-hoy-en-colombia-cotizacion-de-cierre-del-26-de-octubre/" TargetMode="External"/><Relationship Id="rId20" Type="http://schemas.openxmlformats.org/officeDocument/2006/relationships/hyperlink" Target="https://www.chase.com/personal/investments/learning-and-insights/article/federal-reserve-raises-rates-officials-signal-one-more-hike-in-2026" TargetMode="External"/><Relationship Id="rId41" Type="http://schemas.openxmlformats.org/officeDocument/2006/relationships/hyperlink" Target="https://fred.stlouisfed.org/series/COLCCUSSP02STQ" TargetMode="External"/><Relationship Id="rId54" Type="http://schemas.openxmlformats.org/officeDocument/2006/relationships/hyperlink" Target="https://cbonds.com.tr/indexes/215883/" TargetMode="External"/><Relationship Id="rId62" Type="http://schemas.openxmlformats.org/officeDocument/2006/relationships/hyperlink" Target="https://fred.stlouisfed.org/series/SOFR" TargetMode="External"/><Relationship Id="rId70" Type="http://schemas.openxmlformats.org/officeDocument/2006/relationships/hyperlink" Target="https://www.larepublica.co/economia/las-tasas-de-los-bonos-tes-de-corto-plazo-alcanzaron-maximos-de-mas-de-dos-decadas-4394066" TargetMode="External"/><Relationship Id="rId75" Type="http://schemas.openxmlformats.org/officeDocument/2006/relationships/hyperlink" Target="https://www.nerdwallet.com/article/small-business/sba-loan-rates" TargetMode="External"/><Relationship Id="rId83" Type="http://schemas.openxmlformats.org/officeDocument/2006/relationships/hyperlink" Target="https://www.poundsterlinglive.com/history/USD-COP-2025" TargetMode="External"/><Relationship Id="rId88" Type="http://schemas.openxmlformats.org/officeDocument/2006/relationships/hyperlink" Target="https://www.usbank.com/about-us-bank/news-and-stories/article-library/us-bank-boosts-sba-lending-to-a-record-943-million-in-7a-loans.html" TargetMode="External"/><Relationship Id="rId91" Type="http://schemas.openxmlformats.org/officeDocument/2006/relationships/hyperlink" Target="https://www.uwsp.edu/continuing-education-and-outreach/wp-content/uploads/sites/68/2026/05/7-504-Loan-Program-Slides.pdf"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ortafolio.co/economia/finanzas/precio-del-dolar-hoy-en-colombia-asi-cotiza-la-divisa-al-cierre-de-la-semana-504976" TargetMode="External"/><Relationship Id="rId23" Type="http://schemas.openxmlformats.org/officeDocument/2006/relationships/hyperlink" Target="https://www.portafolio.co/economia/finanzas/dolar-en-colombia-el-alza-esperada-para-el-cierre-de-2026-y-por-que-podria-subir-a-3-600-en-2027-segun-credicorp-505043" TargetMode="External"/><Relationship Id="rId28" Type="http://schemas.openxmlformats.org/officeDocument/2006/relationships/hyperlink" Target="https://www.infobae.com/colombia/2026/10/18/creditos-y-costo-de-vida-se-encarecerian-en-colombia-ante-el-desajuste-de-dinero-que-le-dejo-gustavo-petro-al-pais-es-dispararnos-en-el-pie/" TargetMode="External"/><Relationship Id="rId36" Type="http://schemas.openxmlformats.org/officeDocument/2006/relationships/hyperlink" Target="https://s203.q4cdn.com/711684571/files/doc_news/U-S--Bank-Increases-Prime-Lending-Rate-to-7-00-Percent-2026.pdf" TargetMode="External"/><Relationship Id="rId49" Type="http://schemas.openxmlformats.org/officeDocument/2006/relationships/image" Target="media/image2.png"/><Relationship Id="rId57" Type="http://schemas.openxmlformats.org/officeDocument/2006/relationships/hyperlink" Target="https://colemanreport.com/sba-hot-topic-tuesday-grocery-manufacturing-and-rural-businesses-get-new-fy-2027-fee-relief/" TargetMode="External"/><Relationship Id="rId10" Type="http://schemas.openxmlformats.org/officeDocument/2006/relationships/hyperlink" Target="https://www.portafolio.co/economia/finanzas/precio-del-dolar-hoy-en-colombia-asi-cotiza-la-divisa-al-cierre-de-la-semana-504976" TargetMode="External"/><Relationship Id="rId31" Type="http://schemas.openxmlformats.org/officeDocument/2006/relationships/hyperlink" Target="https://www.portafolio.co/economia/finanzas/dolar-en-colombia-el-alza-esperada-para-el-cierre-de-2026-y-por-que-podria-subir-a-3-600-en-2027-segun-credicorp-505043" TargetMode="External"/><Relationship Id="rId44" Type="http://schemas.openxmlformats.org/officeDocument/2006/relationships/image" Target="media/image1.png"/><Relationship Id="rId52" Type="http://schemas.openxmlformats.org/officeDocument/2006/relationships/hyperlink" Target="https://www.bloomberglinea.com/latinoamerica/colombia/deficit-externo-de-colombia-se-amplia-a-us5981-millones-en-el-primer-semestre-de-2026/" TargetMode="External"/><Relationship Id="rId60" Type="http://schemas.openxmlformats.org/officeDocument/2006/relationships/hyperlink" Target="https://www.elcolombiano.com/negocios/colombia-baja-calificacion-riesgo-sp-deficit-fiscal-IG35331339" TargetMode="External"/><Relationship Id="rId65" Type="http://schemas.openxmlformats.org/officeDocument/2006/relationships/hyperlink" Target="https://www.global66.com/blog/dolar-hoy-colombia-analisis-semanal-16-octubre-2026/" TargetMode="External"/><Relationship Id="rId73" Type="http://schemas.openxmlformats.org/officeDocument/2006/relationships/hyperlink" Target="https://www.nerdwallet.com/business/loans/learn/sba-7a-loan" TargetMode="External"/><Relationship Id="rId78" Type="http://schemas.openxmlformats.org/officeDocument/2006/relationships/hyperlink" Target="https://www.portafolio.co/economia/finanzas/el-banco-de-la-republica-aumenta-la-tasa-de-interes-en-25-puntos-basicos-y-queda-en-12-503597" TargetMode="External"/><Relationship Id="rId81" Type="http://schemas.openxmlformats.org/officeDocument/2006/relationships/hyperlink" Target="https://www.portafolio.co/economia/gobierno/una-inflacion-de-6-87-elevaria-las-tasas-del-banco-de-la-republica-a-12-50-al-cierre-de-2026-advierte-estudio-504862" TargetMode="External"/><Relationship Id="rId86" Type="http://schemas.openxmlformats.org/officeDocument/2006/relationships/hyperlink" Target="https://www.superfinanciera.gov.co/publicaciones/9332/informes-y-cifrascifrasestablecimientos-de-creditoinformacion-periodicamensualtasas-de-referencia-mensualhistorico-trm-para-estados-financieros-9332/" TargetMode="External"/><Relationship Id="rId94" Type="http://schemas.openxmlformats.org/officeDocument/2006/relationships/hyperlink" Target="https://dolar.wilkinsonpc.com.co/" TargetMode="External"/><Relationship Id="rId4" Type="http://schemas.openxmlformats.org/officeDocument/2006/relationships/webSettings" Target="webSettings.xml"/><Relationship Id="rId9" Type="http://schemas.openxmlformats.org/officeDocument/2006/relationships/hyperlink" Target="https://dolar.wilkinsonpc.com.co/" TargetMode="External"/><Relationship Id="rId13" Type="http://schemas.openxmlformats.org/officeDocument/2006/relationships/hyperlink" Target="https://forexfundamentals.com/economic-calendar/us-cpi/2026-10-14" TargetMode="External"/><Relationship Id="rId18" Type="http://schemas.openxmlformats.org/officeDocument/2006/relationships/hyperlink" Target="https://www.portafolio.co/economia/finanzas/el-banco-de-la-republica-aumenta-la-tasa-de-interes-en-25-puntos-basicos-y-queda-en-12-503597" TargetMode="External"/><Relationship Id="rId39" Type="http://schemas.openxmlformats.org/officeDocument/2006/relationships/hyperlink" Target="https://www.usbank.com/about-us-bank/news-and-stories/article-library/us-bank-boosts-sba-lending-to-a-record-943-million-in-7a-loans.html" TargetMode="External"/><Relationship Id="rId34" Type="http://schemas.openxmlformats.org/officeDocument/2006/relationships/hyperlink" Target="https://www.sba.gov/es/node/8664" TargetMode="External"/><Relationship Id="rId50" Type="http://schemas.openxmlformats.org/officeDocument/2006/relationships/hyperlink" Target="https://www.bancodebogotainternacional.com/bbi/es/economicindicator" TargetMode="External"/><Relationship Id="rId55" Type="http://schemas.openxmlformats.org/officeDocument/2006/relationships/hyperlink" Target="https://cbonds.com/indexes/215895/" TargetMode="External"/><Relationship Id="rId76" Type="http://schemas.openxmlformats.org/officeDocument/2006/relationships/hyperlink" Target="https://www.portafolio.co/economia/crecimiento/calificacion-crediticia-de-colombia-baja-por-deficit-fiscal-y-deuda-creciente-analisis-de-s-p-y-moody-s-634057" TargetMode="External"/><Relationship Id="rId97" Type="http://schemas.openxmlformats.org/officeDocument/2006/relationships/fontTable" Target="fontTable.xml"/><Relationship Id="rId7" Type="http://schemas.openxmlformats.org/officeDocument/2006/relationships/hyperlink" Target="https://www.global66.com/blog/dolar-hoy-colombia-analisis-semanal-16-octubre-2026/" TargetMode="External"/><Relationship Id="rId71" Type="http://schemas.openxmlformats.org/officeDocument/2006/relationships/hyperlink" Target="https://www.naggl.org/procedural-notice-revising-sop-50-10-8-for-new-citizenship-and-residency-requirements/" TargetMode="External"/><Relationship Id="rId92" Type="http://schemas.openxmlformats.org/officeDocument/2006/relationships/hyperlink" Target="https://es-us.noticias.yahoo.com/d%C3%B3lar-colombia-llegar%C3%ADa-4-000-170000304.html" TargetMode="External"/><Relationship Id="rId2" Type="http://schemas.openxmlformats.org/officeDocument/2006/relationships/styles" Target="styles.xml"/><Relationship Id="rId29" Type="http://schemas.openxmlformats.org/officeDocument/2006/relationships/hyperlink" Target="https://www.global66.com/blog/dolar-hoy-colombia-analisis-semanal-16-octubre-2026/" TargetMode="External"/><Relationship Id="rId24" Type="http://schemas.openxmlformats.org/officeDocument/2006/relationships/hyperlink" Target="https://www.elespectador.com/economia/sp-rebaja-la-calificacion-de-colombia-a-bb-las-razones-detras-de-la-decision/" TargetMode="External"/><Relationship Id="rId40" Type="http://schemas.openxmlformats.org/officeDocument/2006/relationships/hyperlink" Target="https://www.superfinanciera.gov.co/publicaciones/9332/informes-y-cifrascifrasestablecimientos-de-creditoinformacion-periodicamensualtasas-de-referencia-mensualhistorico-trm-para-estados-financieros-9332/" TargetMode="External"/><Relationship Id="rId45" Type="http://schemas.openxmlformats.org/officeDocument/2006/relationships/hyperlink" Target="https://cbonds.com/indexes/215895/" TargetMode="External"/><Relationship Id="rId66" Type="http://schemas.openxmlformats.org/officeDocument/2006/relationships/hyperlink" Target="https://www.infobae.com/colombia/2026/10/18/creditos-y-costo-de-vida-se-encarecerian-en-colombia-ante-el-desajuste-de-dinero-que-le-dejo-gustavo-petro-al-pais-es-dispararnos-en-el-pie/" TargetMode="External"/><Relationship Id="rId87" Type="http://schemas.openxmlformats.org/officeDocument/2006/relationships/hyperlink" Target="https://www.usbank.com/business-banking/business-lending/sba-loans.html" TargetMode="External"/><Relationship Id="rId61" Type="http://schemas.openxmlformats.org/officeDocument/2006/relationships/hyperlink" Target="https://www.elespectador.com/economia/sp-rebaja-la-calificacion-de-colombia-a-bb-las-razones-detras-de-la-decision/" TargetMode="External"/><Relationship Id="rId82" Type="http://schemas.openxmlformats.org/officeDocument/2006/relationships/hyperlink" Target="https://www.poundsterlinglive.com/history/USD-COP-2024" TargetMode="External"/><Relationship Id="rId19" Type="http://schemas.openxmlformats.org/officeDocument/2006/relationships/hyperlink" Target="https://forexfundamentals.com/economic-calendar/us-cpi/2026-10-14" TargetMode="External"/><Relationship Id="rId14" Type="http://schemas.openxmlformats.org/officeDocument/2006/relationships/hyperlink" Target="https://primerates.com/prime-rate-rises-7-percent-fed-first-hike-since-july-2023/" TargetMode="External"/><Relationship Id="rId30" Type="http://schemas.openxmlformats.org/officeDocument/2006/relationships/hyperlink" Target="https://www.portafolio.co/economia/finanzas/dolar-en-colombia-el-alza-esperada-para-el-cierre-de-2026-y-por-que-podria-subir-a-3-600-en-2027-segun-credicorp-505043" TargetMode="External"/><Relationship Id="rId35" Type="http://schemas.openxmlformats.org/officeDocument/2006/relationships/hyperlink" Target="https://www.nerdwallet.com/article/small-business/sba-loan-rates" TargetMode="External"/><Relationship Id="rId56" Type="http://schemas.openxmlformats.org/officeDocument/2006/relationships/hyperlink" Target="https://www.chase.com/personal/investments/learning-and-insights/article/federal-reserve-raises-rates-officials-signal-one-more-hike-in-2026" TargetMode="External"/><Relationship Id="rId77" Type="http://schemas.openxmlformats.org/officeDocument/2006/relationships/hyperlink" Target="https://www.portafolio.co/economia/finanzas/dolar-en-colombia-el-alza-esperada-para-el-cierre-de-2026-y-por-que-podria-subir-a-3-600-en-2027-segun-credicorp-505043" TargetMode="External"/><Relationship Id="rId8" Type="http://schemas.openxmlformats.org/officeDocument/2006/relationships/hyperlink" Target="https://www.portafolio.co/economia/finanzas/precio-del-dolar-hoy-en-colombia-asi-cotiza-la-divisa-al-cierre-de-la-semana-504976" TargetMode="External"/><Relationship Id="rId51" Type="http://schemas.openxmlformats.org/officeDocument/2006/relationships/hyperlink" Target="https://totoro.banrep.gov.co/estadisticas-economicas/" TargetMode="External"/><Relationship Id="rId72" Type="http://schemas.openxmlformats.org/officeDocument/2006/relationships/hyperlink" Target="https://www.nerdwallet.com/business/loans/learn/sba-504-loans" TargetMode="External"/><Relationship Id="rId93" Type="http://schemas.openxmlformats.org/officeDocument/2006/relationships/hyperlink" Target="https://www.valutafx.com/history/cop-usd-2026"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31</Pages>
  <Words>9200</Words>
  <Characters>50606</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Análisis COP/USD y riesgo cambiario del crédito</vt:lpstr>
    </vt:vector>
  </TitlesOfParts>
  <Company/>
  <LinksUpToDate>false</LinksUpToDate>
  <CharactersWithSpaces>59687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COP/USD y riesgo cambiario del crédito</dc:title>
  <dc:creator>Alexandros Gallego Rios</dc:creator>
  <cp:lastModifiedBy>Martin hung</cp:lastModifiedBy>
  <cp:revision>6</cp:revision>
  <dcterms:created xsi:type="dcterms:W3CDTF">2026-10-28T19:26:00Z</dcterms:created>
  <dcterms:modified xsi:type="dcterms:W3CDTF">2026-10-29T14:15:00Z</dcterms:modified>
</cp:coreProperties>
</file>