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n1gqz25npj7c" w:id="0"/>
    <w:bookmarkEnd w:id="0"/>
    <w:p w:rsidR="00000000" w:rsidDel="00000000" w:rsidP="00000000" w:rsidRDefault="00000000" w:rsidRPr="00000000" w14:paraId="00000001">
      <w:pPr>
        <w:spacing w:line="480" w:lineRule="auto"/>
        <w:jc w:val="center"/>
        <w:rPr>
          <w:b w:val="1"/>
          <w:bCs w:val="1"/>
          <w:color w:val="000000"/>
        </w:rPr>
      </w:pPr>
      <w:r w:rsidDel="00000000" w:rsidR="00000000" w:rsidRPr="00000000">
        <w:rPr>
          <w:b w:val="1"/>
          <w:bCs w:val="1"/>
          <w:color w:val="000000"/>
          <w:rtl w:val="0"/>
        </w:rPr>
        <w:t xml:space="preserve">DETAILED ACTION</w:t>
      </w:r>
    </w:p>
    <w:bookmarkStart w:colFirst="0" w:colLast="0" w:name="eocmcdtwof3y" w:id="1"/>
    <w:bookmarkEnd w:id="1"/>
    <w:p w:rsidR="00000000" w:rsidDel="00000000" w:rsidP="00000000" w:rsidRDefault="00000000" w:rsidRPr="00000000" w14:paraId="00000002">
      <w:pPr>
        <w:keepNext w:val="1"/>
        <w:spacing w:line="480" w:lineRule="auto"/>
        <w:jc w:val="center"/>
        <w:rPr>
          <w:b w:val="1"/>
          <w:bCs w:val="1"/>
          <w:i w:val="1"/>
          <w:iCs w:val="1"/>
          <w:color w:val="000000"/>
        </w:rPr>
      </w:pPr>
      <w:r w:rsidDel="00000000" w:rsidR="00000000" w:rsidRPr="00000000">
        <w:rPr>
          <w:b w:val="1"/>
          <w:bCs w:val="1"/>
          <w:i w:val="1"/>
          <w:iCs w:val="1"/>
          <w:color w:val="000000"/>
          <w:rtl w:val="0"/>
        </w:rPr>
        <w:t xml:space="preserve">Notice of Pre-AIA or AIA Status</w:t>
      </w:r>
    </w:p>
    <w:bookmarkStart w:colFirst="0" w:colLast="0" w:name="arqm3iuli8sh" w:id="2"/>
    <w:bookmarkEnd w:id="2"/>
    <w:p w:rsidR="00000000" w:rsidDel="00000000" w:rsidP="00000000" w:rsidRDefault="00000000" w:rsidRPr="00000000" w14:paraId="00000003">
      <w:pPr>
        <w:spacing w:line="480" w:lineRule="auto"/>
        <w:ind w:firstLine="720"/>
        <w:rPr>
          <w:color w:val="000000"/>
        </w:rPr>
      </w:pPr>
      <w:r w:rsidDel="00000000" w:rsidR="00000000" w:rsidRPr="00000000">
        <w:rPr>
          <w:color w:val="000000"/>
          <w:rtl w:val="0"/>
        </w:rPr>
        <w:t xml:space="preserve">The present application, filed on or after March 16, 2013, is being examined under the first inventor to file provisions of the AIA.</w:t>
      </w:r>
    </w:p>
    <w:bookmarkStart w:colFirst="0" w:colLast="0" w:name="nrqa9v53a4zw" w:id="3"/>
    <w:bookmarkEnd w:id="3"/>
    <w:bookmarkStart w:colFirst="0" w:colLast="0" w:name="3xvrgp3ys4ll" w:id="4"/>
    <w:bookmarkEnd w:id="4"/>
    <w:bookmarkStart w:colFirst="0" w:colLast="0" w:name="pamn2t9hmgv4" w:id="5"/>
    <w:bookmarkEnd w:id="5"/>
    <w:bookmarkStart w:colFirst="0" w:colLast="0" w:name="kej8se7qlwqo" w:id="6"/>
    <w:bookmarkEnd w:id="6"/>
    <w:p w:rsidR="00000000" w:rsidDel="00000000" w:rsidP="00000000" w:rsidRDefault="00000000" w:rsidRPr="00000000" w14:paraId="00000004">
      <w:pPr>
        <w:keepNext w:val="1"/>
        <w:spacing w:line="480" w:lineRule="auto"/>
        <w:jc w:val="center"/>
        <w:rPr>
          <w:b w:val="1"/>
          <w:bCs w:val="1"/>
          <w:i w:val="1"/>
          <w:iCs w:val="1"/>
          <w:color w:val="000000"/>
        </w:rPr>
      </w:pPr>
      <w:r w:rsidDel="00000000" w:rsidR="00000000" w:rsidRPr="00000000">
        <w:rPr>
          <w:rtl w:val="0"/>
        </w:rPr>
      </w:r>
    </w:p>
    <w:p w:rsidR="00000000" w:rsidDel="00000000" w:rsidP="00000000" w:rsidRDefault="00000000" w:rsidRPr="00000000" w14:paraId="00000005">
      <w:pPr>
        <w:keepNext w:val="1"/>
        <w:spacing w:line="480" w:lineRule="auto"/>
        <w:jc w:val="center"/>
        <w:rPr>
          <w:b w:val="1"/>
          <w:bCs w:val="1"/>
          <w:i w:val="1"/>
          <w:iCs w:val="1"/>
          <w:color w:val="000000"/>
        </w:rPr>
      </w:pPr>
      <w:r w:rsidDel="00000000" w:rsidR="00000000" w:rsidRPr="00000000">
        <w:rPr>
          <w:b w:val="1"/>
          <w:bCs w:val="1"/>
          <w:i w:val="1"/>
          <w:iCs w:val="1"/>
          <w:color w:val="000000"/>
          <w:rtl w:val="0"/>
        </w:rPr>
        <w:t xml:space="preserve">Election/Restrictions</w:t>
      </w:r>
    </w:p>
    <w:bookmarkStart w:colFirst="0" w:colLast="0" w:name="zdmcex2t9cbj" w:id="7"/>
    <w:bookmarkEnd w:id="7"/>
    <w:p w:rsidR="00000000" w:rsidDel="00000000" w:rsidP="00000000" w:rsidRDefault="00000000" w:rsidRPr="00000000" w14:paraId="00000006">
      <w:pPr>
        <w:spacing w:line="480" w:lineRule="auto"/>
        <w:ind w:firstLine="720"/>
        <w:rPr>
          <w:color w:val="000000"/>
        </w:rPr>
      </w:pPr>
      <w:r w:rsidDel="00000000" w:rsidR="00000000" w:rsidRPr="00000000">
        <w:rPr>
          <w:color w:val="000000"/>
          <w:rtl w:val="0"/>
        </w:rPr>
        <w:t xml:space="preserve">Claims 6 – 10, 26 and 54 – 57 are withdrawn from further consideration pursuant to 37 CFR 1.142(b) as being drawn to a nonelected groups, there being no allowable generic or linking claim. Election was made </w:t>
      </w:r>
      <w:r w:rsidDel="00000000" w:rsidR="00000000" w:rsidRPr="00000000">
        <w:rPr>
          <w:b w:val="1"/>
          <w:bCs w:val="1"/>
          <w:color w:val="000000"/>
          <w:rtl w:val="0"/>
        </w:rPr>
        <w:t xml:space="preserve">without</w:t>
      </w:r>
      <w:r w:rsidDel="00000000" w:rsidR="00000000" w:rsidRPr="00000000">
        <w:rPr>
          <w:color w:val="000000"/>
          <w:rtl w:val="0"/>
        </w:rPr>
        <w:t xml:space="preserve"> traverse in the reply filed on 22 March 2021.</w:t>
      </w:r>
    </w:p>
    <w:p w:rsidR="00000000" w:rsidDel="00000000" w:rsidP="00000000" w:rsidRDefault="00000000" w:rsidRPr="00000000" w14:paraId="00000007">
      <w:pPr>
        <w:spacing w:line="480" w:lineRule="auto"/>
        <w:jc w:val="center"/>
        <w:rPr>
          <w:b w:val="1"/>
          <w:bCs w:val="1"/>
          <w:i w:val="1"/>
          <w:iCs w:val="1"/>
          <w:color w:val="000000"/>
        </w:rPr>
      </w:pPr>
      <w:r w:rsidDel="00000000" w:rsidR="00000000" w:rsidRPr="00000000">
        <w:rPr>
          <w:rtl w:val="0"/>
        </w:rPr>
      </w:r>
    </w:p>
    <w:p w:rsidR="00000000" w:rsidDel="00000000" w:rsidP="00000000" w:rsidRDefault="00000000" w:rsidRPr="00000000" w14:paraId="00000008">
      <w:pPr>
        <w:spacing w:line="480" w:lineRule="auto"/>
        <w:jc w:val="center"/>
        <w:rPr>
          <w:b w:val="1"/>
          <w:bCs w:val="1"/>
          <w:i w:val="1"/>
          <w:iCs w:val="1"/>
          <w:color w:val="000000"/>
        </w:rPr>
      </w:pPr>
      <w:r w:rsidDel="00000000" w:rsidR="00000000" w:rsidRPr="00000000">
        <w:rPr>
          <w:b w:val="1"/>
          <w:bCs w:val="1"/>
          <w:i w:val="1"/>
          <w:iCs w:val="1"/>
          <w:color w:val="000000"/>
          <w:rtl w:val="0"/>
        </w:rPr>
        <w:t xml:space="preserve">Summary</w:t>
      </w:r>
    </w:p>
    <w:p w:rsidR="00000000" w:rsidDel="00000000" w:rsidP="00000000" w:rsidRDefault="00000000" w:rsidRPr="00000000" w14:paraId="00000009">
      <w:pPr>
        <w:spacing w:line="480" w:lineRule="auto"/>
        <w:rPr>
          <w:color w:val="000000"/>
        </w:rPr>
      </w:pPr>
      <w:r w:rsidDel="00000000" w:rsidR="00000000" w:rsidRPr="00000000">
        <w:rPr>
          <w:color w:val="000000"/>
          <w:rtl w:val="0"/>
        </w:rPr>
        <w:t xml:space="preserve">This communication is a First Office Action Non-Final Rejection on the merits.</w:t>
      </w:r>
    </w:p>
    <w:p w:rsidR="00000000" w:rsidDel="00000000" w:rsidP="00000000" w:rsidRDefault="00000000" w:rsidRPr="00000000" w14:paraId="0000000A">
      <w:pPr>
        <w:spacing w:line="480" w:lineRule="auto"/>
        <w:rPr>
          <w:color w:val="000000"/>
        </w:rPr>
      </w:pPr>
      <w:r w:rsidDel="00000000" w:rsidR="00000000" w:rsidRPr="00000000">
        <w:rPr>
          <w:color w:val="000000"/>
          <w:rtl w:val="0"/>
        </w:rPr>
        <w:t xml:space="preserve">Claims 1 – 5 and 53 are currently pending and considered below.</w:t>
      </w:r>
    </w:p>
    <w:bookmarkStart w:colFirst="0" w:colLast="0" w:name="dr19zzghsh6s" w:id="8"/>
    <w:bookmarkEnd w:id="8"/>
    <w:p w:rsidR="00000000" w:rsidDel="00000000" w:rsidP="00000000" w:rsidRDefault="00000000" w:rsidRPr="00000000" w14:paraId="0000000B">
      <w:pPr>
        <w:keepNext w:val="1"/>
        <w:spacing w:line="480" w:lineRule="auto"/>
        <w:jc w:val="center"/>
        <w:rPr>
          <w:b w:val="1"/>
          <w:bCs w:val="1"/>
          <w:i w:val="1"/>
          <w:iCs w:val="1"/>
        </w:rPr>
      </w:pPr>
      <w:r w:rsidDel="00000000" w:rsidR="00000000" w:rsidRPr="00000000">
        <w:rPr>
          <w:rtl w:val="0"/>
        </w:rPr>
      </w:r>
    </w:p>
    <w:p w:rsidR="00000000" w:rsidDel="00000000" w:rsidP="00000000" w:rsidRDefault="00000000" w:rsidRPr="00000000" w14:paraId="0000000C">
      <w:pPr>
        <w:keepNext w:val="1"/>
        <w:spacing w:line="480" w:lineRule="auto"/>
        <w:jc w:val="center"/>
        <w:rPr>
          <w:b w:val="1"/>
          <w:bCs w:val="1"/>
          <w:i w:val="1"/>
          <w:iCs w:val="1"/>
        </w:rPr>
      </w:pPr>
      <w:r w:rsidDel="00000000" w:rsidR="00000000" w:rsidRPr="00000000">
        <w:rPr>
          <w:b w:val="1"/>
          <w:bCs w:val="1"/>
          <w:i w:val="1"/>
          <w:iCs w:val="1"/>
          <w:rtl w:val="0"/>
        </w:rPr>
        <w:t xml:space="preserve">Claim Rejections - 35 USC § 103</w:t>
      </w:r>
    </w:p>
    <w:bookmarkStart w:colFirst="0" w:colLast="0" w:name="yfniimry51h2" w:id="9"/>
    <w:bookmarkEnd w:id="9"/>
    <w:p w:rsidR="00000000" w:rsidDel="00000000" w:rsidP="00000000" w:rsidRDefault="00000000" w:rsidRPr="00000000" w14:paraId="0000000D">
      <w:pPr>
        <w:spacing w:line="480" w:lineRule="auto"/>
        <w:ind w:firstLine="720"/>
        <w:rPr/>
      </w:pPr>
      <w:r w:rsidDel="00000000" w:rsidR="00000000" w:rsidRPr="00000000">
        <w:rPr>
          <w:rtl w:val="0"/>
        </w:rPr>
        <w:t xml:space="preserve">In the event the determination of the status of the application as subject to AIA 35 U.S.C. 102 and 103 (or as subject to pre-AIA 35 U.S.C. 102 and 103) is incorrect, any correction of the statutory basis for the rejection will not be considered a new ground of rejection if the prior art relied upon, and the rationale supporting the rejection, would be the same under either status.  </w:t>
      </w:r>
    </w:p>
    <w:bookmarkStart w:colFirst="0" w:colLast="0" w:name="368ryuj8r7md" w:id="10"/>
    <w:bookmarkEnd w:id="10"/>
    <w:p w:rsidR="00000000" w:rsidDel="00000000" w:rsidP="00000000" w:rsidRDefault="00000000" w:rsidRPr="00000000" w14:paraId="0000000E">
      <w:pPr>
        <w:spacing w:line="480" w:lineRule="auto"/>
        <w:ind w:firstLine="720"/>
        <w:rPr/>
      </w:pPr>
      <w:r w:rsidDel="00000000" w:rsidR="00000000" w:rsidRPr="00000000">
        <w:rPr>
          <w:rtl w:val="0"/>
        </w:rPr>
        <w:t xml:space="preserve">The following is a quotation of 35 U.S.C. 103 which forms the basis for all obviousness rejections set forth in this Office action:</w:t>
      </w:r>
    </w:p>
    <w:p w:rsidR="00000000" w:rsidDel="00000000" w:rsidP="00000000" w:rsidRDefault="00000000" w:rsidRPr="00000000" w14:paraId="0000000F">
      <w:pPr>
        <w:ind w:left="720" w:right="720" w:firstLine="0"/>
        <w:rPr>
          <w:sz w:val="19"/>
          <w:szCs w:val="19"/>
        </w:rPr>
      </w:pPr>
      <w:r w:rsidDel="00000000" w:rsidR="00000000" w:rsidRPr="00000000">
        <w:rPr>
          <w:sz w:val="19"/>
          <w:szCs w:val="19"/>
          <w:rtl w:val="0"/>
        </w:rPr>
        <w:t xml:space="preserve">A patent for a claimed invention may not be obtained, notwithstanding that the claimed invention is not identically disclosed as set forth in section 102,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 Patentability shall not be negated by the manner in which the invention was made.</w:t>
      </w:r>
    </w:p>
    <w:p w:rsidR="00000000" w:rsidDel="00000000" w:rsidP="00000000" w:rsidRDefault="00000000" w:rsidRPr="00000000" w14:paraId="00000010">
      <w:pPr>
        <w:ind w:left="720" w:right="720" w:firstLine="0"/>
        <w:rPr>
          <w:sz w:val="19"/>
          <w:szCs w:val="19"/>
        </w:rPr>
      </w:pPr>
      <w:r w:rsidDel="00000000" w:rsidR="00000000" w:rsidRPr="00000000">
        <w:rPr>
          <w:rtl w:val="0"/>
        </w:rPr>
      </w:r>
    </w:p>
    <w:bookmarkStart w:colFirst="0" w:colLast="0" w:name="joeua4yupkxw" w:id="11"/>
    <w:bookmarkEnd w:id="11"/>
    <w:p w:rsidR="00000000" w:rsidDel="00000000" w:rsidP="00000000" w:rsidRDefault="00000000" w:rsidRPr="00000000" w14:paraId="00000011">
      <w:pPr>
        <w:spacing w:line="480" w:lineRule="auto"/>
        <w:ind w:firstLine="720"/>
        <w:rPr/>
      </w:pPr>
      <w:r w:rsidDel="00000000" w:rsidR="00000000" w:rsidRPr="00000000">
        <w:rPr>
          <w:rtl w:val="0"/>
        </w:rPr>
        <w:t xml:space="preserve">The factual inquiries for establishing a background for determining obviousness under 35 U.S.C. 103 are summarized as follows:</w:t>
      </w:r>
    </w:p>
    <w:p w:rsidR="00000000" w:rsidDel="00000000" w:rsidP="00000000" w:rsidRDefault="00000000" w:rsidRPr="00000000" w14:paraId="00000012">
      <w:pPr>
        <w:spacing w:line="480" w:lineRule="auto"/>
        <w:ind w:firstLine="720"/>
        <w:rPr/>
      </w:pPr>
      <w:r w:rsidDel="00000000" w:rsidR="00000000" w:rsidRPr="00000000">
        <w:rPr>
          <w:rtl w:val="0"/>
        </w:rPr>
        <w:t xml:space="preserve">1. Determining the scope and contents of the prior art.</w:t>
      </w:r>
    </w:p>
    <w:p w:rsidR="00000000" w:rsidDel="00000000" w:rsidP="00000000" w:rsidRDefault="00000000" w:rsidRPr="00000000" w14:paraId="00000013">
      <w:pPr>
        <w:spacing w:line="480" w:lineRule="auto"/>
        <w:ind w:firstLine="720"/>
        <w:rPr/>
      </w:pPr>
      <w:r w:rsidDel="00000000" w:rsidR="00000000" w:rsidRPr="00000000">
        <w:rPr>
          <w:rtl w:val="0"/>
        </w:rPr>
        <w:t xml:space="preserve">2. Ascertaining the differences between the prior art and the claims at issue.</w:t>
      </w:r>
    </w:p>
    <w:p w:rsidR="00000000" w:rsidDel="00000000" w:rsidP="00000000" w:rsidRDefault="00000000" w:rsidRPr="00000000" w14:paraId="00000014">
      <w:pPr>
        <w:spacing w:line="480" w:lineRule="auto"/>
        <w:ind w:firstLine="720"/>
        <w:rPr/>
      </w:pPr>
      <w:r w:rsidDel="00000000" w:rsidR="00000000" w:rsidRPr="00000000">
        <w:rPr>
          <w:rtl w:val="0"/>
        </w:rPr>
        <w:t xml:space="preserve">3. Resolving the level of ordinary skill in the pertinent art.</w:t>
      </w:r>
    </w:p>
    <w:p w:rsidR="00000000" w:rsidDel="00000000" w:rsidP="00000000" w:rsidRDefault="00000000" w:rsidRPr="00000000" w14:paraId="00000015">
      <w:pPr>
        <w:spacing w:line="480" w:lineRule="auto"/>
        <w:ind w:firstLine="720"/>
        <w:rPr/>
      </w:pPr>
      <w:r w:rsidDel="00000000" w:rsidR="00000000" w:rsidRPr="00000000">
        <w:rPr>
          <w:rtl w:val="0"/>
        </w:rPr>
        <w:t xml:space="preserve">4. Considering objective evidence present in the application indicating obviousness or nonobviousness.</w:t>
      </w:r>
    </w:p>
    <w:bookmarkStart w:colFirst="0" w:colLast="0" w:name="thomkdp11w5i" w:id="12"/>
    <w:bookmarkEnd w:id="12"/>
    <w:p w:rsidR="00000000" w:rsidDel="00000000" w:rsidP="00000000" w:rsidRDefault="00000000" w:rsidRPr="00000000" w14:paraId="00000016">
      <w:pPr>
        <w:spacing w:line="480" w:lineRule="auto"/>
        <w:ind w:firstLine="720"/>
        <w:rPr>
          <w:b w:val="1"/>
          <w:bCs w:val="1"/>
        </w:rPr>
      </w:pPr>
      <w:r w:rsidDel="00000000" w:rsidR="00000000" w:rsidRPr="00000000">
        <w:rPr>
          <w:b w:val="1"/>
          <w:bCs w:val="1"/>
          <w:rtl w:val="0"/>
        </w:rPr>
        <w:t xml:space="preserve">Claims 1 – 5 and 53 are rejected under 35 U.S.C. 103 as being unpatentable over Heinla et al. (</w:t>
      </w:r>
      <w:commentRangeStart w:id="0"/>
      <w:r w:rsidDel="00000000" w:rsidR="00000000" w:rsidRPr="00000000">
        <w:rPr>
          <w:b w:val="1"/>
          <w:bCs w:val="1"/>
          <w:rtl w:val="0"/>
        </w:rPr>
        <w:t xml:space="preserve">Hereinafter Heinla) (US 10282995)</w:t>
      </w:r>
      <w:commentRangeEnd w:id="0"/>
      <w:r w:rsidDel="00000000" w:rsidR="00000000" w:rsidRPr="00000000">
        <w:commentReference w:id="0"/>
      </w:r>
      <w:r w:rsidDel="00000000" w:rsidR="00000000" w:rsidRPr="00000000">
        <w:rPr>
          <w:b w:val="1"/>
          <w:bCs w:val="1"/>
          <w:rtl w:val="0"/>
        </w:rPr>
        <w:t xml:space="preserve"> in view of Iagnemma et al. (Hereinafter Iagnemma) (US 10829116) and in further view of  Chen et al. (Hereinafter Chen) (US 9710714) .</w:t>
      </w:r>
    </w:p>
    <w:p w:rsidR="00000000" w:rsidDel="00000000" w:rsidP="00000000" w:rsidRDefault="00000000" w:rsidRPr="00000000" w14:paraId="00000017">
      <w:pPr>
        <w:spacing w:line="480" w:lineRule="auto"/>
        <w:rPr>
          <w:color w:val="000000"/>
        </w:rPr>
      </w:pPr>
      <w:r w:rsidDel="00000000" w:rsidR="00000000" w:rsidRPr="00000000">
        <w:rPr>
          <w:color w:val="000000"/>
          <w:rtl w:val="0"/>
        </w:rPr>
        <w:tab/>
      </w:r>
    </w:p>
    <w:p w:rsidR="00000000" w:rsidDel="00000000" w:rsidP="00000000" w:rsidRDefault="00000000" w:rsidRPr="00000000" w14:paraId="00000018">
      <w:pPr>
        <w:spacing w:line="480" w:lineRule="auto"/>
        <w:ind w:firstLine="720"/>
        <w:rPr>
          <w:color w:val="000000"/>
        </w:rPr>
      </w:pPr>
      <w:r w:rsidDel="00000000" w:rsidR="00000000" w:rsidRPr="00000000">
        <w:rPr>
          <w:b w:val="1"/>
          <w:bCs w:val="1"/>
          <w:rtl w:val="0"/>
        </w:rPr>
        <w:t xml:space="preserve">As per claim 1 and 4 </w:t>
      </w:r>
      <w:r w:rsidDel="00000000" w:rsidR="00000000" w:rsidRPr="00000000">
        <w:rPr>
          <w:rtl w:val="0"/>
        </w:rPr>
        <w:t xml:space="preserve">Heinla discloses elements of:</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one CPU supporting virtualization (See at least column 10 line 17 – 31; via processing component),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one computer vision hardware-based accelerator (See at least column 10 line 17 – 40; via that is, the robot's processing component can, for example, receive images taken by a visual camera (in this case, serving as the first sensor), process these images, and extract information indicating the status of the traffic light. In this way, the robot can identify when it has the right of way based on the pedestrian traffic signals. The processing component can also use historical information regarding the specific traffic lights that it is faced with. In some embodiments, the first sensor can comprise at least one visual camera configured to take visual images of traffic indicators and the processing component can be configured to analyze the visual images to determine whether road crossing is authorized),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one deep learning hardware-based accelerator (See at least column 9 line 19 – 21; via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Classifying the hazardous moving object can include computing its size, orientation, type and other features. This can be done, for example, by using deep learning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Heinla discloses LIDAR and camera sensor and utilizing the sensor in an autonomous vehicles (See at least column 3 line 6 – 16 and column 10 line 55 – 67), but does not explicitly disclose elements of: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one memory device interface structured to connect the system-on-a-chip to at least one memory device storing instructions that when executed by system-on-the-chip, and wherein the system-on-a-chip is configured to perform lane detection based on at least the received camera sensor data and the LIDAR sensor data, and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wherein the system-on-a-chip is configured to provide an object perceptor that perceives object affordances in response to the LIDAR sensor data and a trajectory estimation (Claim 4 limitation).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Iagnemma teaches elements of: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one memory device interface structured to connect the system-on-a-chip to at least one memory device storing instructions that when executed by system-on-the-chip (See at least column 18 line 20 - 33; via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data collected by sensors located on board the vehicle are analyzed, potentially in concert with data stored on a memory located on the vehicle or in the cloud)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wherein the system-on-a-chip is configured to perform lane detection based on at least the received camera sensor data and the LIDAR sensor data (See at least column 14 line 41 – 64; via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Example data inputs include lane marker information, road curbs, raw or processed sensor </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readings from RADAR and LIDAR, the most recent GPS pose, and relative vehicle motion estimates from odometry and inertial measurement sensors. These data inputs are commonly combined in the localization process into a probabilistic state estimate based on a filtering process (for example, a Kalman or particle filter process) to compute the pose of the vehicle with respect to the map at the current time)), and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wherein the system-on-a-chip is configured to provide an object perceptor that perceives object affordances in response to the LIDAR sensor data and a trajectory estimation (See at least column figure 3 line 44 – column 4 line 4; via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Referring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as an example, consider a self-driving vehicle (we sometimes use the terms “autonomous” and “self-driving” synonymously) that uses a particular software process 62 for motion planning. Vehicles capable of highly automated driving (e.g., autonomous vehicles) rely on a motion planning process, e.g., an algorithmic process, to automatically generate and execute a trajectory 64 through the environment toward a designated short-term goal. We use the term “trajectory” broadly to include, for example, any path from one place to another. To distinguish the trajectory 64 that is generated by the motion planning process from the route 66 that is generated by a route planning process, we note that trajectories are paths through the vehicle's immediate surroundings (e.g., with distance scales typically on the order of several meters to several hundred meters). A trajectory is specifically designed to be free of collisions with obstacles and often to have desirable characteristics related to path length, ride quality, required travel time, lack of violation of rules of the road, adherence to driving practices, or other factors and combinations of them. We sometimes use the terms “trajectory” and “path” interchangeably and sometimes refer to either of them as the “output” or “result” of the motion planning process. We note that various motion planning processes may exhibit different properties, including the frequency at which they can generate trajectories, the types of trajectories that they generate (including the density and complexity of the trajectories), and other factors)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Heinla and Iagnemma both teach analogous arts of autonomous vehicle control using LIDAR and camera sensor and processing units.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would have been obvious to one of ordinary skill in the art before the effective filing date of the invention to include at least one memory device interface structured to connect the system-on-a-chip to at least one memory device storing instructions that when executed by system-on-the-chip, and wherein the system-on-a-chip is configured to perform lane detection based on at least the received camera sensor data and the LIDAR sensor data, and wherein the system-on-a-chip is configured to provide an object perceptor that perceives object affordances in response to the LIDAR sensor data and a trajectory estimation as taught by Iagnemma in the system of Heinla, since the claimed invention is merely a combination of old elements, and in the combination each element merely would have performed the same function as it did separately, and one of ordinary skill in the art would have recognized that the results of the combination were predictable.</w:t>
      </w:r>
    </w:p>
    <w:p w:rsidR="00000000" w:rsidDel="00000000" w:rsidP="00000000" w:rsidRDefault="00000000" w:rsidRPr="00000000" w14:paraId="00000025">
      <w:pPr>
        <w:spacing w:line="480" w:lineRule="auto"/>
        <w:ind w:firstLine="720"/>
        <w:rPr/>
      </w:pPr>
      <w:r w:rsidDel="00000000" w:rsidR="00000000" w:rsidRPr="00000000">
        <w:rPr>
          <w:rtl w:val="0"/>
        </w:rPr>
        <w:t xml:space="preserve">The combination of Heinla and Iagnemma does not teach element of: </w:t>
      </w:r>
    </w:p>
    <w:p w:rsidR="00000000" w:rsidDel="00000000" w:rsidP="00000000" w:rsidRDefault="00000000" w:rsidRPr="00000000" w14:paraId="00000026">
      <w:pPr>
        <w:spacing w:line="480" w:lineRule="auto"/>
        <w:ind w:firstLine="720"/>
        <w:rPr>
          <w:color w:val="000000"/>
        </w:rPr>
      </w:pPr>
      <w:r w:rsidDel="00000000" w:rsidR="00000000" w:rsidRPr="00000000">
        <w:rPr>
          <w:color w:val="000000"/>
          <w:rtl w:val="0"/>
        </w:rPr>
        <w:t xml:space="preserve">at least one GPU providing massively parallel processing.</w:t>
      </w:r>
    </w:p>
    <w:p w:rsidR="00000000" w:rsidDel="00000000" w:rsidP="00000000" w:rsidRDefault="00000000" w:rsidRPr="00000000" w14:paraId="00000027">
      <w:pPr>
        <w:spacing w:line="480" w:lineRule="auto"/>
        <w:ind w:firstLine="720"/>
        <w:rPr/>
      </w:pPr>
      <w:r w:rsidDel="00000000" w:rsidR="00000000" w:rsidRPr="00000000">
        <w:rPr>
          <w:rtl w:val="0"/>
        </w:rPr>
        <w:t xml:space="preserve">Chen discloses element of: </w:t>
      </w:r>
    </w:p>
    <w:p w:rsidR="00000000" w:rsidDel="00000000" w:rsidP="00000000" w:rsidRDefault="00000000" w:rsidRPr="00000000" w14:paraId="00000028">
      <w:pPr>
        <w:spacing w:line="480" w:lineRule="auto"/>
        <w:ind w:firstLine="720"/>
        <w:rPr>
          <w:color w:val="000000"/>
        </w:rPr>
      </w:pPr>
      <w:r w:rsidDel="00000000" w:rsidR="00000000" w:rsidRPr="00000000">
        <w:rPr>
          <w:color w:val="000000"/>
          <w:rtl w:val="0"/>
        </w:rPr>
        <w:t xml:space="preserve">at least one GPU providing massively parallel processing </w:t>
      </w:r>
      <w:r w:rsidDel="00000000" w:rsidR="00000000" w:rsidRPr="00000000">
        <w:rPr>
          <w:rtl w:val="0"/>
        </w:rPr>
        <w:t xml:space="preserve">(Column 11 line 62 – column 12 line 3; via</w:t>
      </w:r>
      <w:r w:rsidDel="00000000" w:rsidR="00000000" w:rsidRPr="00000000">
        <w:rPr>
          <w:highlight w:val="white"/>
          <w:rtl w:val="0"/>
        </w:rPr>
        <w:t xml:space="preserve"> the methods described herein may be implemented by software programs executable by a computer system. Further, in an exemplary, non-limited embodiment, implementations can include distributed processing, component/object distributed processing, and parallel processing).</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Heinla, Iagnemma and Chen teach analogous arts of autonomous vehicle control using LIDAR and camera sensor and processing units.</w:t>
      </w:r>
    </w:p>
    <w:bookmarkStart w:colFirst="0" w:colLast="0" w:name="t9zlt2v51lak" w:id="13"/>
    <w:bookmarkEnd w:id="13"/>
    <w:p w:rsidR="00000000" w:rsidDel="00000000" w:rsidP="00000000" w:rsidRDefault="00000000" w:rsidRPr="00000000" w14:paraId="0000002A">
      <w:pPr>
        <w:spacing w:line="480" w:lineRule="auto"/>
        <w:ind w:firstLine="720"/>
        <w:rPr/>
      </w:pPr>
      <w:r w:rsidDel="00000000" w:rsidR="00000000" w:rsidRPr="00000000">
        <w:rPr>
          <w:rtl w:val="0"/>
        </w:rPr>
        <w:t xml:space="preserve">It would have been obvious to one of ordinary skill in the art before the effective filing date of the invention to include </w:t>
      </w:r>
      <w:r w:rsidDel="00000000" w:rsidR="00000000" w:rsidRPr="00000000">
        <w:rPr>
          <w:color w:val="000000"/>
          <w:rtl w:val="0"/>
        </w:rPr>
        <w:t xml:space="preserve">at least one GPU providing massively parallel processing</w:t>
      </w:r>
      <w:r w:rsidDel="00000000" w:rsidR="00000000" w:rsidRPr="00000000">
        <w:rPr>
          <w:rtl w:val="0"/>
        </w:rPr>
        <w:t xml:space="preserve"> as taught by Chen in the system of Heinla and Iagnemma, since the claimed invention is merely a combination of old elements, and in the combination each element merely would have performed the same function as it did separately, and one of ordinary skill in the art would have recognized that the results of the combination were predictable.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per claim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combination of Heinla, Iagnemma and Chen teaches element of: wherein the system-on-a-chip is structured and designed to enable the autonomous vehicle controller to be substantially compliant with level 5 full autonomous driving as defined by SAE specification J3016 (Heinla; see at least column 6 line 65 – column 7 line 28).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per claim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combination of Heinla, Iagnemma and Chen teaches element of: wherein the system-on-a-chip is structured and designed to enable the autonomous vehicle controller to be substantially compliant with integrity level "D" defined by ISO Standard 26262 (Heinla, see at least column 3 line 7 – 16. The Examiner notes that integrity level "D" defined by ISO Standard 26262 means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ASIL classifications are used within ISO 26262 to express the level of risk reduction required to prevent a specific hazard, with ASIL D representing the highest hazard level and ASIL A the lowest by Wikepedia (https://en.wikipedia.org/wiki/ISO_26262#:~:text=ASIL%20classifications%20are%20used%20within,and%20ASIL%20A%20the%20lowest)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Therefore, collision avoidance of Heinla qualify for risk reduction for a specific hazard such as colliding other bike, human, machine or vehicle on the road, which is compliant with integrity level "D" defined by ISO Standard 26262).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Claim 5 discloses same or substantially similar claim elements that were rejected in claim 1 – 4. Therefore, claim 5 is rejected under same rationales as ones in claim 1 –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per claim 53,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combination of Heinla, Iagnemma and Chen teaches element of:</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wherein the system-on-a-chip is configured for controlling an autonomous vehicle and includes at least one memory device connected to the system-on-a-chip, the memory device storing instructions that when executed by the CPU, the GPU and/or the deep learning accelerator, provides autonomous vehicle control that is substantially compliant with Automotive Safety Integrity Level D defined by Standard 26262 of the International Organization for Standardization, wherein the system-on-a-chip is further configured to provide a navigator for executing a route plan generated based at least in part on a world model maintained based on perceived affordances from one or more perceptors (See the rejection rationale of claims 1 – 4 as the claim limitations are same or substantially similar to ones in claims 1 – 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wherein the navigator comprises: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route planner for generating a route plan based on the world model (See at least Iagnemma, see at least column figure 3 line 44 – column 4 line 4 and figure 4A);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control planner for generating one or more control operations to complete a route based on the route plan (See at least Iagnemma, see at least column figure 3 line 44 – column 4 line 4 and figure 4A); and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actuator for performing the one or more control operations to execute the route plan (See at least Iagnemma, see at least column figure 3 line 44 – column 4 line 4 and figure 4A – 4B).</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z2dhxsgmfch" w:id="14"/>
    <w:bookmarkEnd w:id="14"/>
    <w:p w:rsidR="00000000" w:rsidDel="00000000" w:rsidP="00000000" w:rsidRDefault="00000000" w:rsidRPr="00000000" w14:paraId="00000039">
      <w:pPr>
        <w:keepNext w:val="1"/>
        <w:spacing w:line="480" w:lineRule="auto"/>
        <w:jc w:val="center"/>
        <w:rPr>
          <w:b w:val="1"/>
          <w:bCs w:val="1"/>
          <w:i w:val="1"/>
          <w:iCs w:val="1"/>
        </w:rPr>
      </w:pPr>
      <w:r w:rsidDel="00000000" w:rsidR="00000000" w:rsidRPr="00000000">
        <w:rPr>
          <w:b w:val="1"/>
          <w:bCs w:val="1"/>
          <w:i w:val="1"/>
          <w:iCs w:val="1"/>
          <w:rtl w:val="0"/>
        </w:rPr>
        <w:t xml:space="preserve">Conclusion</w:t>
      </w:r>
    </w:p>
    <w:bookmarkStart w:colFirst="0" w:colLast="0" w:name="llwlzrq5y8br" w:id="15"/>
    <w:bookmarkEnd w:id="15"/>
    <w:p w:rsidR="00000000" w:rsidDel="00000000" w:rsidP="00000000" w:rsidRDefault="00000000" w:rsidRPr="00000000" w14:paraId="0000003A">
      <w:pPr>
        <w:spacing w:line="480" w:lineRule="auto"/>
        <w:ind w:firstLine="720"/>
        <w:rPr/>
      </w:pPr>
      <w:r w:rsidDel="00000000" w:rsidR="00000000" w:rsidRPr="00000000">
        <w:rPr>
          <w:rtl w:val="0"/>
        </w:rPr>
        <w:t xml:space="preserve">The prior art made of record and not relied upon is considered pertinent to applicant's disclosure.</w:t>
      </w:r>
    </w:p>
    <w:p w:rsidR="00000000" w:rsidDel="00000000" w:rsidP="00000000" w:rsidRDefault="00000000" w:rsidRPr="00000000" w14:paraId="0000003B">
      <w:pPr>
        <w:spacing w:line="480" w:lineRule="auto"/>
        <w:ind w:firstLine="720"/>
        <w:rPr/>
      </w:pPr>
      <w:r w:rsidDel="00000000" w:rsidR="00000000" w:rsidRPr="00000000">
        <w:rPr>
          <w:rtl w:val="0"/>
        </w:rPr>
        <w:t xml:space="preserve">Ran et al. (US 10380886) discloses connected automated vehicle highway systems and methods.</w:t>
      </w:r>
    </w:p>
    <w:bookmarkStart w:colFirst="0" w:colLast="0" w:name="gox3cz7n5uo3" w:id="16"/>
    <w:bookmarkEnd w:id="16"/>
    <w:bookmarkStart w:colFirst="0" w:colLast="0" w:name="4redzlfb7y9y" w:id="17"/>
    <w:bookmarkEnd w:id="17"/>
    <w:p w:rsidR="00000000" w:rsidDel="00000000" w:rsidP="00000000" w:rsidRDefault="00000000" w:rsidRPr="00000000" w14:paraId="0000003C">
      <w:pPr>
        <w:spacing w:line="480" w:lineRule="auto"/>
        <w:ind w:firstLine="720"/>
        <w:rPr/>
      </w:pPr>
      <w:r w:rsidDel="00000000" w:rsidR="00000000" w:rsidRPr="00000000">
        <w:rPr>
          <w:rtl w:val="0"/>
        </w:rPr>
        <w:t xml:space="preserve">Any inquiry concerning this communication or earlier communications from the examiner should be directed to IG T AN whose telephone number is (571)270-5110.  The examiner can normally be reached on M - F: 10:00AM- 4:00PM.</w:t>
      </w:r>
    </w:p>
    <w:p w:rsidR="00000000" w:rsidDel="00000000" w:rsidP="00000000" w:rsidRDefault="00000000" w:rsidRPr="00000000" w14:paraId="0000003D">
      <w:pPr>
        <w:spacing w:line="480" w:lineRule="auto"/>
        <w:ind w:firstLine="720"/>
        <w:rPr/>
      </w:pPr>
      <w:r w:rsidDel="00000000" w:rsidR="00000000" w:rsidRPr="00000000">
        <w:rPr>
          <w:rtl w:val="0"/>
        </w:rPr>
        <w:t xml:space="preserve">Examiner interviews are available via telephone, in-person, and video conferencing using a USPTO supplied web-based collaboration tool. To schedule an interview, applicant is encouraged to use the USPTO Automated Interview Request (AIR) at http://www.uspto.gov/interviewpractice.</w:t>
      </w:r>
    </w:p>
    <w:p w:rsidR="00000000" w:rsidDel="00000000" w:rsidP="00000000" w:rsidRDefault="00000000" w:rsidRPr="00000000" w14:paraId="0000003E">
      <w:pPr>
        <w:spacing w:line="480" w:lineRule="auto"/>
        <w:ind w:firstLine="720"/>
        <w:rPr/>
      </w:pPr>
      <w:r w:rsidDel="00000000" w:rsidR="00000000" w:rsidRPr="00000000">
        <w:rPr>
          <w:rtl w:val="0"/>
        </w:rPr>
        <w:t xml:space="preserve">If attempts to reach the examiner by telephone are unsuccessful, the examiner’s supervisor, Aniss Chad can be reached on (571) 270-3832.  The fax phone number for the organization where this application or proceeding is assigned is 571-273-8300.</w:t>
      </w:r>
    </w:p>
    <w:p w:rsidR="00000000" w:rsidDel="00000000" w:rsidP="00000000" w:rsidRDefault="00000000" w:rsidRPr="00000000" w14:paraId="0000003F">
      <w:pPr>
        <w:spacing w:line="480" w:lineRule="auto"/>
        <w:ind w:firstLine="720"/>
        <w:rPr/>
      </w:pPr>
      <w:r w:rsidDel="00000000" w:rsidR="00000000" w:rsidRPr="00000000">
        <w:rPr>
          <w:rtl w:val="0"/>
        </w:rPr>
        <w:t xml:space="preserve">Information regarding the status of an application may be obtained from the Patent Application Information Retrieval (PAIR) system.  Status information for published applications may be obtained from either Private PAIR or Public PAIR.  Status information for unpublished applications is available through Private PAIR only.  For more information about the PAIR system, see https://ppair-my.uspto.gov/pair/PrivatePair. Should you have questions on access to the Private PAIR system, contact the Electronic Business Center (EBC) at 866-217-9197 (toll-free). If you would like assistance from a USPTO Customer Service Representative or access to the automated information system, call 800-786-9199 (IN USA OR CANADA) or 571-272-1000.</w:t>
      </w:r>
    </w:p>
    <w:p w:rsidR="00000000" w:rsidDel="00000000" w:rsidP="00000000" w:rsidRDefault="00000000" w:rsidRPr="00000000" w14:paraId="00000040">
      <w:pPr>
        <w:keepLines w:val="1"/>
        <w:rPr/>
      </w:pPr>
      <w:r w:rsidDel="00000000" w:rsidR="00000000" w:rsidRPr="00000000">
        <w:rPr>
          <w:rtl w:val="0"/>
        </w:rPr>
      </w:r>
    </w:p>
    <w:tbl>
      <w:tblPr>
        <w:tblStyle w:val="Table1"/>
        <w:tblW w:w="9576.0" w:type="dxa"/>
        <w:jc w:val="left"/>
        <w:tblLayout w:type="fixed"/>
        <w:tblLook w:val="0000"/>
      </w:tblPr>
      <w:tblGrid>
        <w:gridCol w:w="5598"/>
        <w:gridCol w:w="3978"/>
        <w:tblGridChange w:id="0">
          <w:tblGrid>
            <w:gridCol w:w="5598"/>
            <w:gridCol w:w="39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keepLine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keepLines w:val="1"/>
              <w:rPr/>
            </w:pPr>
            <w:r w:rsidDel="00000000" w:rsidR="00000000" w:rsidRPr="00000000">
              <w:rPr>
                <w:rtl w:val="0"/>
              </w:rPr>
              <w:t xml:space="preserve">IG T AN</w:t>
            </w:r>
          </w:p>
          <w:p w:rsidR="00000000" w:rsidDel="00000000" w:rsidP="00000000" w:rsidRDefault="00000000" w:rsidRPr="00000000" w14:paraId="00000043">
            <w:pPr>
              <w:keepLines w:val="1"/>
              <w:rPr/>
            </w:pPr>
            <w:r w:rsidDel="00000000" w:rsidR="00000000" w:rsidRPr="00000000">
              <w:rPr>
                <w:rtl w:val="0"/>
              </w:rPr>
              <w:t xml:space="preserve">Primary Examiner</w:t>
            </w:r>
          </w:p>
          <w:p w:rsidR="00000000" w:rsidDel="00000000" w:rsidP="00000000" w:rsidRDefault="00000000" w:rsidRPr="00000000" w14:paraId="00000044">
            <w:pPr>
              <w:keepLines w:val="1"/>
              <w:rPr>
                <w:b w:val="1"/>
                <w:bCs w:val="1"/>
              </w:rPr>
            </w:pPr>
            <w:r w:rsidDel="00000000" w:rsidR="00000000" w:rsidRPr="00000000">
              <w:rPr>
                <w:rtl w:val="0"/>
              </w:rPr>
              <w:t xml:space="preserve">Art Unit 3662</w:t>
            </w:r>
            <w:r w:rsidDel="00000000" w:rsidR="00000000" w:rsidRPr="00000000">
              <w:rPr>
                <w:rtl w:val="0"/>
              </w:rPr>
            </w:r>
          </w:p>
        </w:tc>
      </w:tr>
    </w:tbl>
    <w:p w:rsidR="00000000" w:rsidDel="00000000" w:rsidP="00000000" w:rsidRDefault="00000000" w:rsidRPr="00000000" w14:paraId="00000045">
      <w:pPr>
        <w:keepLines w:val="1"/>
        <w:rPr/>
      </w:pPr>
      <w:r w:rsidDel="00000000" w:rsidR="00000000" w:rsidRPr="00000000">
        <w:rPr>
          <w:rtl w:val="0"/>
        </w:rPr>
      </w:r>
    </w:p>
    <w:p w:rsidR="00000000" w:rsidDel="00000000" w:rsidP="00000000" w:rsidRDefault="00000000" w:rsidRPr="00000000" w14:paraId="00000046">
      <w:pPr>
        <w:keepLines w:val="1"/>
        <w:rPr/>
      </w:pPr>
      <w:r w:rsidDel="00000000" w:rsidR="00000000" w:rsidRPr="00000000">
        <w:rPr>
          <w:rtl w:val="0"/>
        </w:rPr>
      </w:r>
    </w:p>
    <w:bookmarkStart w:colFirst="0" w:colLast="0" w:name="1rgqn1thi44j" w:id="18"/>
    <w:bookmarkEnd w:id="18"/>
    <w:bookmarkStart w:colFirst="0" w:colLast="0" w:name="g4w0h8dndr2p" w:id="19"/>
    <w:bookmarkEnd w:id="19"/>
    <w:p w:rsidR="00000000" w:rsidDel="00000000" w:rsidP="00000000" w:rsidRDefault="00000000" w:rsidRPr="00000000" w14:paraId="00000047">
      <w:pPr>
        <w:spacing w:line="240" w:lineRule="auto"/>
        <w:ind w:firstLine="720"/>
        <w:rPr/>
      </w:pPr>
      <w:bookmarkStart w:colFirst="0" w:colLast="0" w:name="_cxaqehaq0s18" w:id="20"/>
      <w:bookmarkEnd w:id="20"/>
      <w:r w:rsidDel="00000000" w:rsidR="00000000" w:rsidRPr="00000000">
        <w:rPr>
          <w:rtl w:val="0"/>
        </w:rPr>
        <w:t xml:space="preserve">/IG T AN/</w:t>
        <w:br w:type="textWrapping"/>
        <w:t xml:space="preserve">            Primary Examiner, Art Unit 3662                                                                                                                                                                                            </w:t>
        <w:br w:type="textWrapping"/>
      </w:r>
    </w:p>
    <w:sectPr>
      <w:headerReference r:id="rId7" w:type="default"/>
      <w:pgSz w:h="15840" w:w="12240" w:orient="portrait"/>
      <w:pgMar w:bottom="1440" w:top="1440" w:left="1440" w:right="1440" w:header="720" w:footer="720"/>
      <w:pgNumType w:start="2"/>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Hurhangee" w:id="1" w:date="2026-07-04T10:11:01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 is this correct?</w:t>
      </w:r>
    </w:p>
  </w:comment>
  <w:comment w:author="Michael Hurhangee" w:id="0" w:date="2026-07-04T10:10:36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 retrieve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Application/Control Number: </w:t>
    </w:r>
    <w:r w:rsidDel="00000000" w:rsidR="00000000" w:rsidRPr="00000000">
      <w:fldChar w:fldCharType="begin"/>
      <w:instrText xml:space="preserve"> DOCPROPERTY "FormattedApplicationNumber"</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16/186,473</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Unit: </w:t>
    </w:r>
    <w:r w:rsidDel="00000000" w:rsidR="00000000" w:rsidRPr="00000000">
      <w:fldChar w:fldCharType="begin"/>
      <w:instrText xml:space="preserve"> DOCPROPERTY "HeaderArtUnit"</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3662</w:t>
    </w:r>
    <w:r w:rsidDel="00000000" w:rsidR="00000000" w:rsidRPr="00000000">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FormattedApplicationNumber">
    <vt:lpwstr>16/186,473</vt:lpwstr>
  </property>
  <property fmtid="{D5CDD505-2E9C-101B-9397-08002B2CF9AE}" pid="3" name="HeaderArtUnit">
    <vt:lpwstr>3662</vt:lpwstr>
  </property>
  <property fmtid="{D5CDD505-2E9C-101B-9397-08002B2CF9AE}" pid="4" name="gsHttp">
    <vt:lpwstr>https</vt:lpwstr>
  </property>
  <property fmtid="{D5CDD505-2E9C-101B-9397-08002B2CF9AE}" pid="5" name="FullName">
    <vt:lpwstr>https://dav.uspto.gov/ocweb/rest/documents/33836853/content/doc.docx?sessionId=20664594447226348&amp;empnum=84387&amp;appnum=16186473&amp;color=957f64&amp;ext=.docx&amp;docId=33836853&amp;viewer=109026151&amp;ut=false&amp;utId=-1&amp;SCIM=I&amp;SCSilent=T&amp;SCEmail=F</vt:lpwstr>
  </property>
  <property fmtid="{D5CDD505-2E9C-101B-9397-08002B2CF9AE}" pid="6" name="DocID">
    <vt:lpwstr>33836853</vt:lpwstr>
  </property>
  <property fmtid="{D5CDD505-2E9C-101B-9397-08002B2CF9AE}" pid="7" name="LoggedInUserEmpNum">
    <vt:lpwstr>84387</vt:lpwstr>
  </property>
  <property fmtid="{D5CDD505-2E9C-101B-9397-08002B2CF9AE}" pid="8" name="DocSetID">
    <vt:lpwstr>109026151</vt:lpwstr>
  </property>
  <property fmtid="{D5CDD505-2E9C-101B-9397-08002B2CF9AE}" pid="9" name="Path">
    <vt:lpwstr>https://dav.uspto.gov/ocweb/rest/documents/33836853/content</vt:lpwstr>
  </property>
  <property fmtid="{D5CDD505-2E9C-101B-9397-08002B2CF9AE}" pid="10" name="AppNum">
    <vt:lpwstr>16186473</vt:lpwstr>
  </property>
  <property fmtid="{D5CDD505-2E9C-101B-9397-08002B2CF9AE}" pid="11" name="FileExtension">
    <vt:lpwstr>.docx</vt:lpwstr>
  </property>
  <property fmtid="{D5CDD505-2E9C-101B-9397-08002B2CF9AE}" pid="12" name="WebCheckOption">
    <vt:lpwstr>WebCheckOption</vt:lpwstr>
  </property>
  <property fmtid="{D5CDD505-2E9C-101B-9397-08002B2CF9AE}" pid="13" name="CheckWordDocIDs">
    <vt:lpwstr>CheckWordDocIDs</vt:lpwstr>
  </property>
  <property fmtid="{D5CDD505-2E9C-101B-9397-08002B2CF9AE}" pid="14" name="SessionID">
    <vt:lpwstr>20664594447226348</vt:lpwstr>
  </property>
  <property fmtid="{D5CDD505-2E9C-101B-9397-08002B2CF9AE}" pid="15" name="RequestID">
    <vt:lpwstr>RequestID</vt:lpwstr>
  </property>
  <property fmtid="{D5CDD505-2E9C-101B-9397-08002B2CF9AE}" pid="16" name="FilesToImport">
    <vt:lpwstr>FilesToImport</vt:lpwstr>
  </property>
  <property fmtid="{D5CDD505-2E9C-101B-9397-08002B2CF9AE}" pid="17" name="KeyToImport">
    <vt:lpwstr>KeyToImport</vt:lpwstr>
  </property>
  <property fmtid="{D5CDD505-2E9C-101B-9397-08002B2CF9AE}" pid="18" name="IsPreviousCorrespondence">
    <vt:lpwstr>0</vt:lpwstr>
  </property>
  <property fmtid="{D5CDD505-2E9C-101B-9397-08002B2CF9AE}" pid="19" name="FileCacheVersion">
    <vt:lpwstr>2.010</vt:lpwstr>
  </property>
  <property fmtid="{D5CDD505-2E9C-101B-9397-08002B2CF9AE}" pid="20" name="IsMessenger">
    <vt:lpwstr>false</vt:lpwstr>
  </property>
  <property fmtid="{D5CDD505-2E9C-101B-9397-08002B2CF9AE}" pid="21" name="WebCheckCloseFlag">
    <vt:lpwstr>false</vt:lpwstr>
  </property>
  <property fmtid="{D5CDD505-2E9C-101B-9397-08002B2CF9AE}" pid="22" name="OCBeforeCloseAlreadyRan">
    <vt:lpwstr>false</vt:lpwstr>
  </property>
  <property fmtid="{D5CDD505-2E9C-101B-9397-08002B2CF9AE}" pid="23" name="CodaMode">
    <vt:lpwstr>false</vt:lpwstr>
  </property>
  <property fmtid="{D5CDD505-2E9C-101B-9397-08002B2CF9AE}" pid="24" name="UseTemplate">
    <vt:lpwstr>false</vt:lpwstr>
  </property>
  <property fmtid="{D5CDD505-2E9C-101B-9397-08002B2CF9AE}" pid="25" name="TemplateID">
    <vt:lpwstr>-1</vt:lpwstr>
  </property>
  <property fmtid="{D5CDD505-2E9C-101B-9397-08002B2CF9AE}" pid="26" name="OACSDocSetId">
    <vt:lpwstr>OACSDocSetId</vt:lpwstr>
  </property>
  <property fmtid="{D5CDD505-2E9C-101B-9397-08002B2CF9AE}" pid="27" name="OACSDocId">
    <vt:lpwstr>OACSDocId</vt:lpwstr>
  </property>
  <property fmtid="{D5CDD505-2E9C-101B-9397-08002B2CF9AE}" pid="28" name="RETURN_FormNameLocked">
    <vt:lpwstr>false</vt:lpwstr>
  </property>
  <property fmtid="{D5CDD505-2E9C-101B-9397-08002B2CF9AE}" pid="29" name="RETURN_FormLeft">
    <vt:lpwstr>-1</vt:lpwstr>
  </property>
  <property fmtid="{D5CDD505-2E9C-101B-9397-08002B2CF9AE}" pid="30" name="RETURN_FormTop">
    <vt:lpwstr>-1</vt:lpwstr>
  </property>
  <property fmtid="{D5CDD505-2E9C-101B-9397-08002B2CF9AE}" pid="31" name="RETURN_FormWidth">
    <vt:lpwstr>-1</vt:lpwstr>
  </property>
  <property fmtid="{D5CDD505-2E9C-101B-9397-08002B2CF9AE}" pid="32" name="RETURN_FormHeight">
    <vt:lpwstr>-1</vt:lpwstr>
  </property>
  <property fmtid="{D5CDD505-2E9C-101B-9397-08002B2CF9AE}" pid="33" name="RETURN_OADropDownDisabled">
    <vt:lpwstr>false</vt:lpwstr>
  </property>
  <property fmtid="{D5CDD505-2E9C-101B-9397-08002B2CF9AE}" pid="34" name="RETURN_HighlightedFP">
    <vt:lpwstr>-1</vt:lpwstr>
  </property>
  <property fmtid="{D5CDD505-2E9C-101B-9397-08002B2CF9AE}" pid="35" name="RETURN_QuickFPState">
    <vt:lpwstr>FirstLoad</vt:lpwstr>
  </property>
  <property fmtid="{D5CDD505-2E9C-101B-9397-08002B2CF9AE}" pid="36" name="RETURN_WizardType">
    <vt:lpwstr>RETURN_WizardType</vt:lpwstr>
  </property>
  <property fmtid="{D5CDD505-2E9C-101B-9397-08002B2CF9AE}" pid="37" name="RETURN_WizardTabs">
    <vt:lpwstr>RETURN_WizardTabs</vt:lpwstr>
  </property>
  <property fmtid="{D5CDD505-2E9C-101B-9397-08002B2CF9AE}" pid="38" name="RETURN_MaxTabVisited">
    <vt:lpwstr>0</vt:lpwstr>
  </property>
  <property fmtid="{D5CDD505-2E9C-101B-9397-08002B2CF9AE}" pid="39" name="RETURN_ElecResOptNo">
    <vt:lpwstr>false</vt:lpwstr>
  </property>
  <property fmtid="{D5CDD505-2E9C-101B-9397-08002B2CF9AE}" pid="40" name="RETURN_ElecResOptYes">
    <vt:lpwstr>false</vt:lpwstr>
  </property>
  <property fmtid="{D5CDD505-2E9C-101B-9397-08002B2CF9AE}" pid="41" name="RETURN_AmendOpt">
    <vt:lpwstr>-1</vt:lpwstr>
  </property>
  <property fmtid="{D5CDD505-2E9C-101B-9397-08002B2CF9AE}" pid="42" name="RETURN_SelectedItem">
    <vt:lpwstr>-1</vt:lpwstr>
  </property>
  <property fmtid="{D5CDD505-2E9C-101B-9397-08002B2CF9AE}" pid="43" name="RETURN_FPInkHeight">
    <vt:lpwstr>-1</vt:lpwstr>
  </property>
  <property fmtid="{D5CDD505-2E9C-101B-9397-08002B2CF9AE}" pid="44" name="RETURN_FPInkVisible">
    <vt:lpwstr>false</vt:lpwstr>
  </property>
  <property fmtid="{D5CDD505-2E9C-101B-9397-08002B2CF9AE}" pid="45" name="RETURN_ExNotesInkHeight">
    <vt:lpwstr>-1</vt:lpwstr>
  </property>
  <property fmtid="{D5CDD505-2E9C-101B-9397-08002B2CF9AE}" pid="46" name="RETURN_ExNotesInkVisible">
    <vt:lpwstr>false</vt:lpwstr>
  </property>
  <property fmtid="{D5CDD505-2E9C-101B-9397-08002B2CF9AE}" pid="47" name="RETURN_RNotesInkHeight">
    <vt:lpwstr>-1</vt:lpwstr>
  </property>
  <property fmtid="{D5CDD505-2E9C-101B-9397-08002B2CF9AE}" pid="48" name="RETURN_RNotesInkVisible">
    <vt:lpwstr>false</vt:lpwstr>
  </property>
  <property fmtid="{D5CDD505-2E9C-101B-9397-08002B2CF9AE}" pid="49" name="STATE_HeightAdjustmentButtonClickedName">
    <vt:lpwstr>STATE_HeightAdjustmentButtonClickedName</vt:lpwstr>
  </property>
  <property fmtid="{D5CDD505-2E9C-101B-9397-08002B2CF9AE}" pid="50" name="STATE_ParagraphTextHeight">
    <vt:lpwstr>-1</vt:lpwstr>
  </property>
  <property fmtid="{D5CDD505-2E9C-101B-9397-08002B2CF9AE}" pid="51" name="STATE_ReleaseNotesHeight">
    <vt:lpwstr>-1</vt:lpwstr>
  </property>
  <property fmtid="{D5CDD505-2E9C-101B-9397-08002B2CF9AE}" pid="52" name="STATE_BtnMinimizeInProgress">
    <vt:lpwstr>false</vt:lpwstr>
  </property>
  <property fmtid="{D5CDD505-2E9C-101B-9397-08002B2CF9AE}" pid="53" name="RefreshingOCRibbon">
    <vt:lpwstr>false</vt:lpwstr>
  </property>
  <property fmtid="{D5CDD505-2E9C-101B-9397-08002B2CF9AE}" pid="54" name="CONSTS_OacsDocPath">
    <vt:lpwstr>\\uspto-oacsxp-fs.uspto.gov\oaksfs</vt:lpwstr>
  </property>
  <property fmtid="{D5CDD505-2E9C-101B-9397-08002B2CF9AE}" pid="55" name="GOCDefaultID">
    <vt:lpwstr>17360</vt:lpwstr>
  </property>
  <property fmtid="{D5CDD505-2E9C-101B-9397-08002B2CF9AE}" pid="56" name="zoomLevel">
    <vt:lpwstr>125%</vt:lpwstr>
  </property>
  <property fmtid="{D5CDD505-2E9C-101B-9397-08002B2CF9AE}" pid="57" name="Color">
    <vt:lpwstr>6586261</vt:lpwstr>
  </property>
  <property fmtid="{D5CDD505-2E9C-101B-9397-08002B2CF9AE}" pid="58" name="LastWorkflowStatusChangeDate">
    <vt:lpwstr>1620706991435</vt:lpwstr>
  </property>
  <property fmtid="{D5CDD505-2E9C-101B-9397-08002B2CF9AE}" pid="59" name="IsAIA">
    <vt:lpwstr>true</vt:lpwstr>
  </property>
  <property fmtid="{D5CDD505-2E9C-101B-9397-08002B2CF9AE}" pid="60" name="PaperNum">
    <vt:lpwstr>20210511</vt:lpwstr>
  </property>
  <property fmtid="{D5CDD505-2E9C-101B-9397-08002B2CF9AE}" pid="61" name="ApplicantName">
    <vt:lpwstr>DITTY et al.</vt:lpwstr>
  </property>
  <property fmtid="{D5CDD505-2E9C-101B-9397-08002B2CF9AE}" pid="62" name="ApplicationDate">
    <vt:lpwstr>9 Nov 2018</vt:lpwstr>
  </property>
  <property fmtid="{D5CDD505-2E9C-101B-9397-08002B2CF9AE}" pid="63" name="ExaminerNumberOnFile">
    <vt:lpwstr>84387</vt:lpwstr>
  </property>
  <property fmtid="{D5CDD505-2E9C-101B-9397-08002B2CF9AE}" pid="64" name="InventionTitle">
    <vt:lpwstr>SYSTEMS AND METHODS FOR SAFE AND RELIABLE AUTONOMOUS VEHICLES</vt:lpwstr>
  </property>
  <property fmtid="{D5CDD505-2E9C-101B-9397-08002B2CF9AE}" pid="65" name="PatentNumber">
    <vt:lpwstr>PatentNumber</vt:lpwstr>
  </property>
  <property fmtid="{D5CDD505-2E9C-101B-9397-08002B2CF9AE}" pid="66" name="AgentAddress">
    <vt:lpwstr>Nixon &amp; Vanderhye PC / NVIDIA_x000d_901 N Glebe Rd_x000d_11th Fl_x000d_Arlington, VA 22203</vt:lpwstr>
  </property>
  <property fmtid="{D5CDD505-2E9C-101B-9397-08002B2CF9AE}" pid="67" name="ESigError">
    <vt:lpwstr>The system was unable to add your signature at this time.  Please try again later or apply your signature manually.  Signature Format:  /Pat N Examiner/</vt:lpwstr>
  </property>
  <property fmtid="{D5CDD505-2E9C-101B-9397-08002B2CF9AE}" pid="68" name="EInitialsError">
    <vt:lpwstr>The system was unable to add your initials at this time.  Please try again later or apply your initials manually.  Initial Format:  /JD/</vt:lpwstr>
  </property>
  <property fmtid="{D5CDD505-2E9C-101B-9397-08002B2CF9AE}" pid="69" name="FPErrorBeforeInt">
    <vt:lpwstr>Can't read form paragraph (</vt:lpwstr>
  </property>
  <property fmtid="{D5CDD505-2E9C-101B-9397-08002B2CF9AE}" pid="70" name="FPErrorAfterInt">
    <vt:lpwstr>).  Please try again later.</vt:lpwstr>
  </property>
  <property fmtid="{D5CDD505-2E9C-101B-9397-08002B2CF9AE}" pid="71" name="GroupDirectorName">
    <vt:lpwstr>GroupDirectorName</vt:lpwstr>
  </property>
  <property fmtid="{D5CDD505-2E9C-101B-9397-08002B2CF9AE}" pid="72" name="ViewerWindowLabel">
    <vt:lpwstr>OC - 16/186,473 - Non-Final Rejection - 20210511 - Google Chrome</vt:lpwstr>
  </property>
  <property fmtid="{D5CDD505-2E9C-101B-9397-08002B2CF9AE}" pid="73" name="IRibbonUILastAddress">
    <vt:lpwstr>533152736</vt:lpwstr>
  </property>
  <property fmtid="{D5CDD505-2E9C-101B-9397-08002B2CF9AE}" pid="74" name="DocCaption">
    <vt:lpwstr>Non-Final Rejection 16186473 20210511 - Word</vt:lpwstr>
  </property>
  <property fmtid="{D5CDD505-2E9C-101B-9397-08002B2CF9AE}" pid="75" name="OCActiveDictionaryID">
    <vt:lpwstr>8709</vt:lpwstr>
  </property>
  <property fmtid="{D5CDD505-2E9C-101B-9397-08002B2CF9AE}" pid="76" name="OCActiveDictionaryName">
    <vt:lpwstr>OCCUSTOM</vt:lpwstr>
  </property>
  <property fmtid="{D5CDD505-2E9C-101B-9397-08002B2CF9AE}" pid="77" name="OCActiveDictionaryLocation">
    <vt:lpwstr>C:\Users\ian\Documents\OC\OCCUSTOM.DIC</vt:lpwstr>
  </property>
  <property fmtid="{D5CDD505-2E9C-101B-9397-08002B2CF9AE}" pid="78" name="OCActiveDictionaryDescription">
    <vt:lpwstr>OC custom dictionary</vt:lpwstr>
  </property>
  <property fmtid="{D5CDD505-2E9C-101B-9397-08002B2CF9AE}" pid="79" name="ToolkitState">
    <vt:lpwstr>tkSt=closed&amp;tkL=3345&amp;tkW=335&amp;tvH=200&amp;tkT=120&amp;tab=2&amp;tvScr=18&amp;tvSel=461&amp;tvExp=1|457&amp;tvF=8&amp;iPTH=130&amp;iPTScr=0&amp;iPTF=12&amp;iENH=-100&amp;iENScr=0&amp;iENF=12&amp;iRNH=-60&amp;iRNScr=0&amp;iRNF=8&amp;srch=</vt:lpwstr>
  </property>
  <property fmtid="{D5CDD505-2E9C-101B-9397-08002B2CF9AE}" pid="80" name="STATE_HeightAdjustmentState">
    <vt:lpwstr>FromTabChange</vt:lpwstr>
  </property>
  <property fmtid="{D5CDD505-2E9C-101B-9397-08002B2CF9AE}" pid="81" name="FRMFP_CURRENTTAB">
    <vt:lpwstr>2</vt:lpwstr>
  </property>
  <property fmtid="{D5CDD505-2E9C-101B-9397-08002B2CF9AE}" pid="82" name="RETURN_FormName">
    <vt:lpwstr>frmFP</vt:lpwstr>
  </property>
  <property fmtid="{D5CDD505-2E9C-101B-9397-08002B2CF9AE}" pid="83" name="RETURN_Tab">
    <vt:lpwstr>2</vt:lpwstr>
  </property>
  <property fmtid="{D5CDD505-2E9C-101B-9397-08002B2CF9AE}" pid="84" name="RETURN_SearchString">
    <vt:lpwstr>RETURN_SearchString</vt:lpwstr>
  </property>
  <property fmtid="{D5CDD505-2E9C-101B-9397-08002B2CF9AE}" pid="85" name="STATE_ReturnButtonClickInProgress">
    <vt:lpwstr>false</vt:lpwstr>
  </property>
  <property fmtid="{D5CDD505-2E9C-101B-9397-08002B2CF9AE}" pid="86" name="FRMFP_ISLOADED">
    <vt:lpwstr>true</vt:lpwstr>
  </property>
  <property fmtid="{D5CDD505-2E9C-101B-9397-08002B2CF9AE}" pid="87" name="lastInsertedHeaderOrFP">
    <vt:lpwstr>FP OacsClose</vt:lpwstr>
  </property>
  <property fmtid="{D5CDD505-2E9C-101B-9397-08002B2CF9AE}" pid="88" name="CanUndoFP">
    <vt:lpwstr>true</vt:lpwstr>
  </property>
  <property fmtid="{D5CDD505-2E9C-101B-9397-08002B2CF9AE}" pid="89" name="CanRedoFP">
    <vt:lpwstr>false</vt:lpwstr>
  </property>
  <property fmtid="{D5CDD505-2E9C-101B-9397-08002B2CF9AE}" pid="90" name="RETURN_ExecuteReturnOnWindowActivate">
    <vt:lpwstr>false</vt:lpwstr>
  </property>
  <property fmtid="{D5CDD505-2E9C-101B-9397-08002B2CF9AE}" pid="91" name="OCActiveDictionaryVersion">
    <vt:lpwstr>5251</vt:lpwstr>
  </property>
  <property fmtid="{D5CDD505-2E9C-101B-9397-08002B2CF9AE}" pid="92" name="Name">
    <vt:lpwstr>Non-Final Rejection</vt:lpwstr>
  </property>
  <property fmtid="{D5CDD505-2E9C-101B-9397-08002B2CF9AE}" pid="93" name="LastModifiedServerDate">
    <vt:lpwstr>1620848529000</vt:lpwstr>
  </property>
  <property fmtid="{D5CDD505-2E9C-101B-9397-08002B2CF9AE}" pid="94" name="InitialParaLoaded">
    <vt:lpwstr>true</vt:lpwstr>
  </property>
  <property fmtid="{D5CDD505-2E9C-101B-9397-08002B2CF9AE}" pid="95" name="DocumentSavedOnce">
    <vt:lpwstr>true</vt:lpwstr>
  </property>
  <property fmtid="{D5CDD505-2E9C-101B-9397-08002B2CF9AE}" pid="96" name="FRMFP_RESETHOME">
    <vt:lpwstr>false</vt:lpwstr>
  </property>
  <property fmtid="{D5CDD505-2E9C-101B-9397-08002B2CF9AE}" pid="97" name="SkipSpellCheck">
    <vt:lpwstr>0</vt:lpwstr>
  </property>
  <property fmtid="{D5CDD505-2E9C-101B-9397-08002B2CF9AE}" pid="98" name="SavePromptOption">
    <vt:lpwstr>option_2</vt:lpwstr>
  </property>
  <property fmtid="{D5CDD505-2E9C-101B-9397-08002B2CF9AE}" pid="99" name="STATE_HasMarkup">
    <vt:lpwstr>false</vt:lpwstr>
  </property>
  <property fmtid="{D5CDD505-2E9C-101B-9397-08002B2CF9AE}" pid="100" name="SkipCloseMessengers">
    <vt:lpwstr>true</vt:lpwstr>
  </property>
  <property fmtid="{D5CDD505-2E9C-101B-9397-08002B2CF9AE}" pid="101" name="SkipDetach">
    <vt:lpwstr>-1</vt:lpwstr>
  </property>
  <property fmtid="{D5CDD505-2E9C-101B-9397-08002B2CF9AE}" pid="102" name="PERSIST_DocumentHeight">
    <vt:lpwstr>1422</vt:lpwstr>
  </property>
  <property fmtid="{D5CDD505-2E9C-101B-9397-08002B2CF9AE}" pid="103" name="PERSIST_DocumentWidth">
    <vt:lpwstr>822</vt:lpwstr>
  </property>
  <property fmtid="{D5CDD505-2E9C-101B-9397-08002B2CF9AE}" pid="104" name="PERSIST_DocumentLeft">
    <vt:lpwstr>2874</vt:lpwstr>
  </property>
  <property fmtid="{D5CDD505-2E9C-101B-9397-08002B2CF9AE}" pid="105" name="PERSIST_DocumentTop">
    <vt:lpwstr>-540</vt:lpwstr>
  </property>
  <property fmtid="{D5CDD505-2E9C-101B-9397-08002B2CF9AE}" pid="106" name="PERSIST_DocumentWindowState">
    <vt:lpwstr>1</vt:lpwstr>
  </property>
</Properties>
</file>