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DC2626"/>
          <w:sz w:val="56"/>
          <w:szCs w:val="56"/>
        </w:rPr>
        <w:t xml:space="preserve">TheoSYN AI Learning Party</w:t>
      </w:r>
    </w:p>
    <w:p>
      <w:pPr>
        <w:spacing w:after="40"/>
      </w:pPr>
      <w:r>
        <w:rPr>
          <w:b/>
          <w:bCs/>
          <w:color w:val="111827"/>
          <w:sz w:val="32"/>
          <w:szCs w:val="32"/>
        </w:rPr>
        <w:t xml:space="preserve">Site Strategy, Copy &amp; Design System</w:t>
      </w:r>
    </w:p>
    <w:p>
      <w:pPr>
        <w:spacing w:after="360"/>
      </w:pPr>
      <w:r>
        <w:rPr>
          <w:i/>
          <w:iCs/>
          <w:color w:val="4B5563"/>
          <w:sz w:val="22"/>
          <w:szCs w:val="22"/>
        </w:rPr>
        <w:t xml:space="preserve">Prepared for Milford Hutsell III  ·  June 22, 2026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Why This Document Exists</w:t>
      </w:r>
    </w:p>
    <w:p>
      <w:pPr>
        <w:spacing w:after="160"/>
      </w:pPr>
      <w:r>
        <w:t xml:space="preserve">This is the blueprint for the TheoSYN AI Learning Party site — your program teaching everyday AI skills to Baby Boomers and Gen X adults. It uses the proven funnel structure of Retirement Bestie (retirementbestie.com) — a site built on the same insight: older adults don't need more tech jargon, they need warm, structured, low-pressure guidance — but rebuilt with your TheoSYN Labs branding, your bio, and your actual offer stack.</w:t>
      </w:r>
    </w:p>
    <w:p>
      <w:pPr>
        <w:spacing w:after="160"/>
      </w:pPr>
      <w:r>
        <w:t xml:space="preserve">Everything below is ready to hand to a designer/developer or to build directly as a one-page site: positioning, page-by-page copy, an offer structure with placeholder pricing for you to confirm, and a visual design system pulled from theosynlabs.com.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Positioning</w:t>
      </w:r>
    </w:p>
    <w:p>
      <w:pPr>
        <w:pStyle w:val="Heading2"/>
      </w:pPr>
      <w:r>
        <w:t xml:space="preserve">Brand Name</w:t>
      </w:r>
    </w:p>
    <w:p>
      <w:pPr>
        <w:spacing w:after="160"/>
      </w:pPr>
      <w:r>
        <w:t xml:space="preserve">TheoSYN AI Learning Party</w:t>
      </w:r>
    </w:p>
    <w:p>
      <w:pPr>
        <w:pStyle w:val="Heading2"/>
      </w:pPr>
      <w:r>
        <w:t xml:space="preserve">One-Line Promise</w:t>
      </w:r>
    </w:p>
    <w:p>
      <w:pPr>
        <w:spacing w:after="160"/>
      </w:pPr>
      <w:r>
        <w:t xml:space="preserve">“Technology should serve people, not complicate their lives” — your own TheoSYN philosophy, applied to retirees instead of businesses.</w:t>
      </w:r>
    </w:p>
    <w:p>
      <w:pPr>
        <w:pStyle w:val="Heading2"/>
      </w:pPr>
      <w:r>
        <w:t xml:space="preserve">Audience</w:t>
      </w:r>
    </w:p>
    <w:p>
      <w:pPr>
        <w:spacing w:after="160"/>
      </w:pPr>
      <w:r>
        <w:t xml:space="preserve">Baby Boomers and Gen X adults (roughly 55+), gender-neutral. People who feel curious about AI but intimidated by tech culture aimed at 20-somethings. Unlike Retirement Bestie's women-only framing, this site speaks to everyone in that generation — retirees, semi-retirees, and lifelong learners alike.</w:t>
      </w:r>
    </w:p>
    <w:p>
      <w:pPr>
        <w:pStyle w:val="Heading2"/>
      </w:pPr>
      <w:r>
        <w:t xml:space="preserve">Core Emotional Hook</w:t>
      </w:r>
    </w:p>
    <w:p>
      <w:pPr>
        <w:spacing w:after="160"/>
      </w:pPr>
      <w:r>
        <w:t xml:space="preserve">Same hook that makes Retirement Bestie work: relief, not pressure. “You are not behind. You are not too late. You just need the right kind of guidance.” That line travels well to a Baby Boomer/Gen X audience almost unchanged — keep the reassurance, drop the gendered framing.</w:t>
      </w:r>
    </w:p>
    <w:p>
      <w:pPr>
        <w:pStyle w:val="Heading2"/>
      </w:pPr>
      <w:r>
        <w:t xml:space="preserve">Why TheoSYN Is Credible 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25+ years of enterprise technology leadership — you've simplified complex systems for organizations with real budgets and real stakes.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Industry 4.0 / process engineering background — you know how to break complicated workflows into simple steps, which is exactly what an older learner needs.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Faith-driven, people-first philosophy — “technology should serve people, not complicate operations” becomes “AI should serve you, not confuse you.”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already run a working systems-advisory business (TheoSYN Labs) — this isn't a hobby project, it's the same founder bringing enterprise-grade thinking down to an individual level.</w:t>
      </w:r>
    </w:p>
    <w:p>
      <w:pPr>
        <w:pStyle w:val="Heading1"/>
      </w:pPr>
      <w:r>
        <w:t xml:space="preserve">2. Visual Design System</w:t>
      </w:r>
    </w:p>
    <w:p>
      <w:pPr>
        <w:spacing w:after="160"/>
      </w:pPr>
      <w:r>
        <w:t xml:space="preserve">Pulled directly from theosynlabs.com, with adjustments flagged for an older-adult audience (→).</w:t>
      </w:r>
    </w:p>
    <w:p>
      <w:pPr>
        <w:pStyle w:val="Heading2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shd w:fill="1118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Swatch</w:t>
            </w:r>
          </w:p>
        </w:tc>
        <w:tc>
          <w:tcPr>
            <w:tcW w:type="dxa" w:w="2400"/>
            <w:shd w:fill="1118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800"/>
            <w:shd w:fill="1118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3360"/>
            <w:shd w:fill="1118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800"/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TheoSYN Red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B5563"/>
              </w:rPr>
              <w:t xml:space="preserve">#DC2626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B5563"/>
              </w:rPr>
              <w:t xml:space="preserve">Primary accent, CTA buttons, links, checkmarks</w:t>
            </w:r>
          </w:p>
        </w:tc>
      </w:tr>
      <w:tr>
        <w:tc>
          <w:tcPr>
            <w:tcW w:type="dxa" w:w="1800"/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TheoSYN Amber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B5563"/>
              </w:rPr>
              <w:t xml:space="preserve">#F59E0B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B5563"/>
              </w:rPr>
              <w:t xml:space="preserve">Secondary accent, gradient pair with red on key headline words</w:t>
            </w:r>
          </w:p>
        </w:tc>
      </w:tr>
      <w:tr>
        <w:tc>
          <w:tcPr>
            <w:tcW w:type="dxa" w:w="1800"/>
            <w:shd w:fill="1118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Ink Black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B5563"/>
              </w:rPr>
              <w:t xml:space="preserve">#111827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B5563"/>
              </w:rPr>
              <w:t xml:space="preserve">Headlines, primary text</w:t>
            </w:r>
          </w:p>
        </w:tc>
      </w:tr>
      <w:tr>
        <w:tc>
          <w:tcPr>
            <w:tcW w:type="dxa" w:w="1800"/>
            <w:shd w:fill="4B556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Slate Gray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B5563"/>
              </w:rPr>
              <w:t xml:space="preserve">#4B5563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B5563"/>
              </w:rPr>
              <w:t xml:space="preserve">Body copy, supporting text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Off-White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B5563"/>
              </w:rPr>
              <w:t xml:space="preserve">#FFFFFF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B5563"/>
              </w:rPr>
              <w:t xml:space="preserve">Background — keep clean, uncluttered (→ important for older eyes: avoid busy textured backgrounds)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Typography</w:t>
      </w:r>
    </w:p>
    <w:p>
      <w:pPr>
        <w:spacing w:after="100"/>
      </w:pPr>
      <w:r>
        <w:rPr>
          <w:b/>
          <w:bCs/>
          <w:color w:val="111827"/>
        </w:rPr>
        <w:t xml:space="preserve">Headline font: </w:t>
      </w:r>
      <w:r>
        <w:rPr>
          <w:color w:val="4B5563"/>
        </w:rPr>
        <w:t xml:space="preserve">A bold geometric sans (Inter, Sora, or Manrope) at 800–900 weight — matches the punchy, confident look of theosynlabs.com headlines</w:t>
      </w:r>
    </w:p>
    <w:p>
      <w:pPr>
        <w:spacing w:after="100"/>
      </w:pPr>
      <w:r>
        <w:rPr>
          <w:b/>
          <w:bCs/>
          <w:color w:val="111827"/>
        </w:rPr>
        <w:t xml:space="preserve">Body font: </w:t>
      </w:r>
      <w:r>
        <w:rPr>
          <w:color w:val="4B5563"/>
        </w:rPr>
        <w:t xml:space="preserve">Same family at 400–500 weight</w:t>
      </w:r>
    </w:p>
    <w:p>
      <w:pPr>
        <w:spacing w:after="100"/>
      </w:pPr>
      <w:r>
        <w:rPr>
          <w:b/>
          <w:bCs/>
          <w:color w:val="111827"/>
        </w:rPr>
        <w:t xml:space="preserve">→ Accessibility adjustment: </w:t>
      </w:r>
      <w:r>
        <w:rPr>
          <w:color w:val="4B5563"/>
        </w:rPr>
        <w:t xml:space="preserve">Minimum 18–20px body text (not the 16px common on B2B sites), 1.6 line-height, and avoid all-caps for long phrases — Baby Boomer/Gen X readers convert better with clear, larger, high-contrast type</w:t>
      </w:r>
    </w:p>
    <w:p>
      <w:pPr>
        <w:spacing w:after="100"/>
      </w:pPr>
      <w:r>
        <w:rPr>
          <w:b/>
          <w:bCs/>
          <w:color w:val="111827"/>
        </w:rPr>
        <w:t xml:space="preserve">Headline accent pattern: </w:t>
      </w:r>
      <w:r>
        <w:rPr>
          <w:color w:val="4B5563"/>
        </w:rPr>
        <w:t xml:space="preserve">Color the emotionally key phrase in the headline red→orange (e.g. theosynlabs.com does “Grow Without Hiring” in gradient). For this site: “You're Not Behind. You're Just Getting Started.” with “Getting Started” in the red→orange treatment</w:t>
      </w:r>
    </w:p>
    <w:p>
      <w:pPr>
        <w:pStyle w:val="Heading2"/>
      </w:pPr>
      <w:r>
        <w:t xml:space="preserve">Layout Patterns to Reuse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 white background, generous whitespace, one card-style callout box per section (theosynlabs.com's “Why Organizations Choose” card → becomes “Why TheoSYN AI Learning Party Works” card)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 row under the hero: 3 short stats with bold numbers + small caption underneath (kept from both reference sites)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 CTA buttons, bold, high contrast, rounded corners — same shape language as theosynlabs.com's “Book a Free Strategy Session”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 checkmarks for benefit lists (already your visual signature — keep 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3-card offer grid for the main funnel choice, same structure as Retirement Bestie's course / bot / workshop grid</w:t>
      </w:r>
    </w:p>
    <w:p>
      <w:pPr>
        <w:pStyle w:val="Heading1"/>
      </w:pPr>
      <w:r>
        <w:t xml:space="preserve">3. Page-by-Page Copy</w:t>
      </w:r>
    </w:p>
    <w:p>
      <w:pPr>
        <w:pStyle w:val="Heading2"/>
      </w:pPr>
      <w:r>
        <w:t xml:space="preserve">Hero Section</w:t>
      </w:r>
    </w:p>
    <w:p>
      <w:pPr>
        <w:spacing w:after="100"/>
      </w:pPr>
      <w:r>
        <w:rPr>
          <w:b/>
          <w:bCs/>
          <w:color w:val="111827"/>
        </w:rPr>
        <w:t xml:space="preserve">Headline: </w:t>
      </w:r>
      <w:r>
        <w:rPr>
          <w:color w:val="4B5563"/>
        </w:rPr>
        <w:t xml:space="preserve">You're Not Behind. You're Just Getting Started.</w:t>
      </w:r>
    </w:p>
    <w:p>
      <w:pPr>
        <w:spacing w:after="100"/>
      </w:pPr>
      <w:r>
        <w:rPr>
          <w:b/>
          <w:bCs/>
          <w:color w:val="111827"/>
        </w:rPr>
        <w:t xml:space="preserve">Subhead: </w:t>
      </w:r>
      <w:r>
        <w:rPr>
          <w:color w:val="4B5563"/>
        </w:rPr>
        <w:t xml:space="preserve">AI made simple for Baby Boomers and Gen X who want to feel confident, capable, and excited about what's next — one tiny step at a time.</w:t>
      </w:r>
    </w:p>
    <w:p>
      <w:pPr>
        <w:spacing w:after="100"/>
      </w:pPr>
      <w:r>
        <w:rPr>
          <w:b/>
          <w:bCs/>
          <w:color w:val="111827"/>
        </w:rPr>
        <w:t xml:space="preserve">Primary CTA: </w:t>
      </w:r>
      <w:r>
        <w:rPr>
          <w:color w:val="4B5563"/>
        </w:rPr>
        <w:t xml:space="preserve">JOIN A LIVE AI PARTY</w:t>
      </w:r>
    </w:p>
    <w:p>
      <w:pPr>
        <w:spacing w:after="100"/>
      </w:pPr>
      <w:r>
        <w:rPr>
          <w:b/>
          <w:bCs/>
          <w:color w:val="111827"/>
        </w:rPr>
        <w:t xml:space="preserve">Secondary CTA: </w:t>
      </w:r>
      <w:r>
        <w:rPr>
          <w:color w:val="4B5563"/>
        </w:rPr>
        <w:t xml:space="preserve">EXPLORE THE PROGRAM</w:t>
      </w:r>
    </w:p>
    <w:p>
      <w:pPr>
        <w:spacing w:after="100"/>
      </w:pPr>
      <w:r>
        <w:rPr>
          <w:b/>
          <w:bCs/>
          <w:color w:val="111827"/>
        </w:rPr>
        <w:t xml:space="preserve">Visual: </w:t>
      </w:r>
      <w:r>
        <w:rPr>
          <w:color w:val="4B5563"/>
        </w:rPr>
        <w:t xml:space="preserve">Photo collage of real adults 55+ actively engaged with tech — travel, family, hobbies, not stock-photo “confused senior at computer” imagery</w:t>
      </w:r>
    </w:p>
    <w:p>
      <w:pPr>
        <w:pStyle w:val="Heading2"/>
      </w:pPr>
      <w:r>
        <w:t xml:space="preserve">Trust Strip (scrolling ticker)</w:t>
      </w:r>
    </w:p>
    <w:p>
      <w:pPr>
        <w:spacing w:after="160"/>
      </w:pPr>
      <w:r>
        <w:rPr>
          <w:color w:val="4B5563"/>
          <w:sz w:val="20"/>
          <w:szCs w:val="20"/>
        </w:rPr>
        <w:t xml:space="preserve">AI LEARNING PARTY  •  NO TECH JARGON  •  BOOMERS &amp; GEN X  •  TRAVEL &amp; FAMILY PROJECTS  •  LIVE WEEKLY SESSIONS  •  1-ON-1 SUPPORT  •  ENTERPRISE-GRADE GUIDANCE</w:t>
      </w:r>
    </w:p>
    <w:p>
      <w:pPr>
        <w:pStyle w:val="Heading2"/>
      </w:pPr>
      <w:r>
        <w:t xml:space="preserve">About Milford (Credibility Section)</w:t>
      </w:r>
    </w:p>
    <w:p>
      <w:pPr>
        <w:spacing w:after="100"/>
      </w:pPr>
      <w:r>
        <w:rPr>
          <w:b/>
          <w:bCs/>
          <w:color w:val="111827"/>
        </w:rPr>
        <w:t xml:space="preserve">Section label: </w:t>
      </w:r>
      <w:r>
        <w:rPr>
          <w:color w:val="4B5563"/>
        </w:rPr>
        <w:t xml:space="preserve">ABOUT MILFORD</w:t>
      </w:r>
    </w:p>
    <w:p>
      <w:pPr>
        <w:spacing w:after="100"/>
      </w:pPr>
      <w:r>
        <w:rPr>
          <w:b/>
          <w:bCs/>
          <w:color w:val="111827"/>
        </w:rPr>
        <w:t xml:space="preserve">Headline: </w:t>
      </w:r>
      <w:r>
        <w:rPr>
          <w:color w:val="4B5563"/>
        </w:rPr>
        <w:t xml:space="preserve">Enterprise Experience. Brought Home To You.</w:t>
      </w:r>
    </w:p>
    <w:p>
      <w:pPr>
        <w:spacing w:after="160"/>
      </w:pPr>
      <w:r>
        <w:t xml:space="preserve">After 25+ years leading enterprise technology and Industry 4.0 systems for businesses that can't afford to get it wrong, I started TheoSYN Labs to bring that same dependable, no-jargon approach to local businesses and churches. The AI Learning Party is the next step: taking the exact same patience and plain-English method and handing it directly to people in their 50s, 60s, and beyond who want AI to actually help with real life — not impress anyone.</w:t>
      </w:r>
    </w:p>
    <w:p>
      <w:pPr>
        <w:pBdr>
          <w:left w:val="single" w:color="DC2626" w:sz="18" w:space="8"/>
        </w:pBdr>
        <w:spacing w:after="120" w:before="120"/>
        <w:ind w:left="360"/>
      </w:pPr>
      <w:r>
        <w:rPr>
          <w:i/>
          <w:iCs/>
          <w:color w:val="4B5563"/>
          <w:sz w:val="24"/>
          <w:szCs w:val="24"/>
        </w:rPr>
        <w:t xml:space="preserve">“If I can make enterprise systems simple enough for a small business owner with no IT department, I can make AI simple enough for you.” — Milford Hutsell III, Founder</w:t>
      </w:r>
    </w:p>
    <w:p>
      <w:pPr>
        <w:spacing w:after="100"/>
      </w:pPr>
      <w:r>
        <w:rPr>
          <w:b/>
          <w:bCs/>
          <w:color w:val="111827"/>
        </w:rPr>
        <w:t xml:space="preserve">Stat 1: </w:t>
      </w:r>
      <w:r>
        <w:rPr>
          <w:color w:val="4B5563"/>
        </w:rPr>
        <w:t xml:space="preserve">25+ Years — Enterprise Tech Leadership</w:t>
      </w:r>
    </w:p>
    <w:p>
      <w:pPr>
        <w:spacing w:after="100"/>
      </w:pPr>
      <w:r>
        <w:rPr>
          <w:b/>
          <w:bCs/>
          <w:color w:val="111827"/>
        </w:rPr>
        <w:t xml:space="preserve">Stat 2: </w:t>
      </w:r>
      <w:r>
        <w:rPr>
          <w:color w:val="4B5563"/>
        </w:rPr>
        <w:t xml:space="preserve">100% — No-Jargon Promise</w:t>
      </w:r>
    </w:p>
    <w:p>
      <w:pPr>
        <w:spacing w:after="100"/>
      </w:pPr>
      <w:r>
        <w:rPr>
          <w:b/>
          <w:bCs/>
          <w:color w:val="111827"/>
        </w:rPr>
        <w:t xml:space="preserve">Stat 3: </w:t>
      </w:r>
      <w:r>
        <w:rPr>
          <w:color w:val="4B5563"/>
        </w:rPr>
        <w:t xml:space="preserve">Faith-Driven — Honest, People-First Approach</w:t>
      </w:r>
    </w:p>
    <w:p>
      <w:pPr>
        <w:pStyle w:val="Heading2"/>
      </w:pPr>
      <w:r>
        <w:t xml:space="preserve">Offer Section Intro</w:t>
      </w:r>
    </w:p>
    <w:p>
      <w:pPr>
        <w:spacing w:after="100"/>
      </w:pPr>
      <w:r>
        <w:rPr>
          <w:b/>
          <w:bCs/>
          <w:color w:val="111827"/>
        </w:rPr>
        <w:t xml:space="preserve">Section label: </w:t>
      </w:r>
      <w:r>
        <w:rPr>
          <w:color w:val="4B5563"/>
        </w:rPr>
        <w:t xml:space="preserve">EXPLORE</w:t>
      </w:r>
    </w:p>
    <w:p>
      <w:pPr>
        <w:spacing w:after="100"/>
      </w:pPr>
      <w:r>
        <w:rPr>
          <w:b/>
          <w:bCs/>
          <w:color w:val="111827"/>
        </w:rPr>
        <w:t xml:space="preserve">Headline: </w:t>
      </w:r>
      <w:r>
        <w:rPr>
          <w:color w:val="4B5563"/>
        </w:rPr>
        <w:t xml:space="preserve">Your Next Chapter Starts Here</w:t>
      </w:r>
    </w:p>
    <w:p>
      <w:pPr>
        <w:spacing w:after="160"/>
      </w:pPr>
      <w:r>
        <w:t xml:space="preserve">Three ways to get started, same structure as a proven funnel: a self-paced foundation, personal 1-on-1 help, and a live weekly group session.</w:t>
      </w:r>
    </w:p>
    <w:p>
      <w:pPr>
        <w:pStyle w:val="Heading3"/>
      </w:pPr>
      <w:r>
        <w:t xml:space="preserve">Offer 1 — Foundation Course</w:t>
      </w:r>
    </w:p>
    <w:p>
      <w:pPr>
        <w:spacing w:after="100"/>
      </w:pPr>
      <w:r>
        <w:rPr>
          <w:b/>
          <w:bCs/>
          <w:color w:val="111827"/>
        </w:rPr>
        <w:t xml:space="preserve">Name: </w:t>
      </w:r>
      <w:r>
        <w:rPr>
          <w:color w:val="4B5563"/>
        </w:rPr>
        <w:t xml:space="preserve">AI Foundation Course</w:t>
      </w:r>
    </w:p>
    <w:p>
      <w:pPr>
        <w:spacing w:after="100"/>
      </w:pPr>
      <w:r>
        <w:rPr>
          <w:b/>
          <w:bCs/>
          <w:color w:val="111827"/>
        </w:rPr>
        <w:t xml:space="preserve">Promise: </w:t>
      </w:r>
      <w:r>
        <w:rPr>
          <w:color w:val="4B5563"/>
        </w:rPr>
        <w:t xml:space="preserve">The complete step-by-step path to AI confidence — structured, simple, and built for Baby Boomers and Gen X learners</w:t>
      </w:r>
    </w:p>
    <w:p>
      <w:pPr>
        <w:spacing w:after="100"/>
      </w:pPr>
      <w:r>
        <w:rPr>
          <w:b/>
          <w:bCs/>
          <w:color w:val="111827"/>
        </w:rPr>
        <w:t xml:space="preserve">Format: </w:t>
      </w:r>
      <w:r>
        <w:rPr>
          <w:color w:val="4B5563"/>
        </w:rPr>
        <w:t xml:space="preserve">Self-paced, structured lessons (suggest 4–6 short modules covering: what AI actually is, everyday uses, hands-on practice, staying safe online)</w:t>
      </w:r>
    </w:p>
    <w:p>
      <w:pPr>
        <w:spacing w:after="100"/>
      </w:pPr>
      <w:r>
        <w:rPr>
          <w:b/>
          <w:bCs/>
          <w:color w:val="111827"/>
        </w:rPr>
        <w:t xml:space="preserve">Price (placeholder — confirm): </w:t>
      </w:r>
      <w:r>
        <w:rPr>
          <w:color w:val="4B5563"/>
        </w:rPr>
        <w:t xml:space="preserve">$197 one-time — adjust to match your positioning; consider a $97 launch price for the first cohort</w:t>
      </w:r>
    </w:p>
    <w:p>
      <w:pPr>
        <w:spacing w:after="100"/>
      </w:pPr>
      <w:r>
        <w:rPr>
          <w:b/>
          <w:bCs/>
          <w:color w:val="111827"/>
        </w:rPr>
        <w:t xml:space="preserve">CTA: </w:t>
      </w:r>
      <w:r>
        <w:rPr>
          <w:color w:val="4B5563"/>
        </w:rPr>
        <w:t xml:space="preserve">JOIN THE WAITLIST / ENROLL NOW</w:t>
      </w:r>
    </w:p>
    <w:p>
      <w:pPr>
        <w:pStyle w:val="Heading3"/>
      </w:pPr>
      <w:r>
        <w:t xml:space="preserve">Offer 2 — Paid 1-on-1</w:t>
      </w:r>
    </w:p>
    <w:p>
      <w:pPr>
        <w:spacing w:after="100"/>
      </w:pPr>
      <w:r>
        <w:rPr>
          <w:b/>
          <w:bCs/>
          <w:color w:val="111827"/>
        </w:rPr>
        <w:t xml:space="preserve">Name: </w:t>
      </w:r>
      <w:r>
        <w:rPr>
          <w:color w:val="4B5563"/>
        </w:rPr>
        <w:t xml:space="preserve">Personal AI Coaching Session</w:t>
      </w:r>
    </w:p>
    <w:p>
      <w:pPr>
        <w:spacing w:after="100"/>
      </w:pPr>
      <w:r>
        <w:rPr>
          <w:b/>
          <w:bCs/>
          <w:color w:val="111827"/>
        </w:rPr>
        <w:t xml:space="preserve">Promise: </w:t>
      </w:r>
      <w:r>
        <w:rPr>
          <w:color w:val="4B5563"/>
        </w:rPr>
        <w:t xml:space="preserve">One-on-one time with Milford to solve your specific AI questions — family photos, travel planning, a side project, anything you're stuck on</w:t>
      </w:r>
    </w:p>
    <w:p>
      <w:pPr>
        <w:spacing w:after="100"/>
      </w:pPr>
      <w:r>
        <w:rPr>
          <w:b/>
          <w:bCs/>
          <w:color w:val="111827"/>
        </w:rPr>
        <w:t xml:space="preserve">Format: </w:t>
      </w:r>
      <w:r>
        <w:rPr>
          <w:color w:val="4B5563"/>
        </w:rPr>
        <w:t xml:space="preserve">45–60 minute private Zoom session, screen-share walkthrough, follow-up notes included</w:t>
      </w:r>
    </w:p>
    <w:p>
      <w:pPr>
        <w:spacing w:after="100"/>
      </w:pPr>
      <w:r>
        <w:rPr>
          <w:b/>
          <w:bCs/>
          <w:color w:val="111827"/>
        </w:rPr>
        <w:t xml:space="preserve">Price (placeholder — confirm): </w:t>
      </w:r>
      <w:r>
        <w:rPr>
          <w:color w:val="4B5563"/>
        </w:rPr>
        <w:t xml:space="preserve">$97–$147 per session — premium-feeling but accessible; matches the “direct partnership with a founder” positioning from theosynlabs.com</w:t>
      </w:r>
    </w:p>
    <w:p>
      <w:pPr>
        <w:spacing w:after="100"/>
      </w:pPr>
      <w:r>
        <w:rPr>
          <w:b/>
          <w:bCs/>
          <w:color w:val="111827"/>
        </w:rPr>
        <w:t xml:space="preserve">CTA: </w:t>
      </w:r>
      <w:r>
        <w:rPr>
          <w:color w:val="4B5563"/>
        </w:rPr>
        <w:t xml:space="preserve">BOOK YOUR SESSION</w:t>
      </w:r>
    </w:p>
    <w:p>
      <w:pPr>
        <w:pStyle w:val="Heading3"/>
      </w:pPr>
      <w:r>
        <w:t xml:space="preserve">Offer 3 — Live AI Party Weekly</w:t>
      </w:r>
    </w:p>
    <w:p>
      <w:pPr>
        <w:spacing w:after="100"/>
      </w:pPr>
      <w:r>
        <w:rPr>
          <w:b/>
          <w:bCs/>
          <w:color w:val="111827"/>
        </w:rPr>
        <w:t xml:space="preserve">Name: </w:t>
      </w:r>
      <w:r>
        <w:rPr>
          <w:color w:val="4B5563"/>
        </w:rPr>
        <w:t xml:space="preserve">TheoSYN AI Learning Party — Live Weekly</w:t>
      </w:r>
    </w:p>
    <w:p>
      <w:pPr>
        <w:spacing w:after="100"/>
      </w:pPr>
      <w:r>
        <w:rPr>
          <w:b/>
          <w:bCs/>
          <w:color w:val="111827"/>
        </w:rPr>
        <w:t xml:space="preserve">Promise: </w:t>
      </w:r>
      <w:r>
        <w:rPr>
          <w:color w:val="4B5563"/>
        </w:rPr>
        <w:t xml:space="preserve">A cozy small-group Zoom session where Baby Boomers and Gen X learn AI together, every week — real practice, real questions answered, no judgment</w:t>
      </w:r>
    </w:p>
    <w:p>
      <w:pPr>
        <w:spacing w:after="100"/>
      </w:pPr>
      <w:r>
        <w:rPr>
          <w:b/>
          <w:bCs/>
          <w:color w:val="111827"/>
        </w:rPr>
        <w:t xml:space="preserve">Format: </w:t>
      </w:r>
      <w:r>
        <w:rPr>
          <w:color w:val="4B5563"/>
        </w:rPr>
        <w:t xml:space="preserve">60–90 minutes, capped group size (suggest max 10–12), recurring weekly</w:t>
      </w:r>
    </w:p>
    <w:p>
      <w:pPr>
        <w:spacing w:after="100"/>
      </w:pPr>
      <w:r>
        <w:rPr>
          <w:b/>
          <w:bCs/>
          <w:color w:val="111827"/>
        </w:rPr>
        <w:t xml:space="preserve">Price (placeholder — confirm): </w:t>
      </w:r>
      <w:r>
        <w:rPr>
          <w:color w:val="4B5563"/>
        </w:rPr>
        <w:t xml:space="preserve">$17–$27 per person per session — mirrors Retirement Bestie's proven $17 price point; weekly cadence may support a $47/month all-access pass instead of per-session</w:t>
      </w:r>
    </w:p>
    <w:p>
      <w:pPr>
        <w:spacing w:after="100"/>
      </w:pPr>
      <w:r>
        <w:rPr>
          <w:b/>
          <w:bCs/>
          <w:color w:val="111827"/>
        </w:rPr>
        <w:t xml:space="preserve">Bonus: </w:t>
      </w:r>
      <w:r>
        <w:rPr>
          <w:color w:val="4B5563"/>
        </w:rPr>
        <w:t xml:space="preserve">Consider including a free AI “starter kit” (prompt cheat-sheet or a ready-made assistant) with the first session, same bonus structure Retirement Bestie uses to raise perceived value</w:t>
      </w:r>
    </w:p>
    <w:p>
      <w:pPr>
        <w:spacing w:after="100"/>
      </w:pPr>
      <w:r>
        <w:rPr>
          <w:b/>
          <w:bCs/>
          <w:color w:val="111827"/>
        </w:rPr>
        <w:t xml:space="preserve">CTA: </w:t>
      </w:r>
      <w:r>
        <w:rPr>
          <w:color w:val="4B5563"/>
        </w:rPr>
        <w:t xml:space="preserve">SAVE MY SPOT</w:t>
      </w:r>
    </w:p>
    <w:p>
      <w:pPr>
        <w:pStyle w:val="Heading2"/>
      </w:pPr>
      <w:r>
        <w:t xml:space="preserve">Pricing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118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Offer</w:t>
            </w:r>
          </w:p>
        </w:tc>
        <w:tc>
          <w:tcPr>
            <w:tcW w:type="dxa" w:w="3120"/>
            <w:shd w:fill="1118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3120"/>
            <w:shd w:fill="1118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Suggested Price</w:t>
            </w:r>
          </w:p>
        </w:tc>
      </w:tr>
      <w:tr>
        <w:tc>
          <w:tcPr>
            <w:tcW w:type="dxa" w:w="312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AI Foundation Course</w:t>
            </w:r>
          </w:p>
        </w:tc>
        <w:tc>
          <w:tcPr>
            <w:tcW w:type="dxa" w:w="312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Self-paced, 4–6 modules</w:t>
            </w:r>
          </w:p>
        </w:tc>
        <w:tc>
          <w:tcPr>
            <w:tcW w:type="dxa" w:w="312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$197 (or $97 launch)</w:t>
            </w:r>
          </w:p>
        </w:tc>
      </w:tr>
      <w:tr>
        <w:tc>
          <w:tcPr>
            <w:tcW w:type="dxa" w:w="312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Personal AI Coaching</w:t>
            </w:r>
          </w:p>
        </w:tc>
        <w:tc>
          <w:tcPr>
            <w:tcW w:type="dxa" w:w="312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1-on-1, 45–60 min Zoom</w:t>
            </w:r>
          </w:p>
        </w:tc>
        <w:tc>
          <w:tcPr>
            <w:tcW w:type="dxa" w:w="312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$97–$147 / session</w:t>
            </w:r>
          </w:p>
        </w:tc>
      </w:tr>
      <w:tr>
        <w:tc>
          <w:tcPr>
            <w:tcW w:type="dxa" w:w="312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AI Learning Party Weekly</w:t>
            </w:r>
          </w:p>
        </w:tc>
        <w:tc>
          <w:tcPr>
            <w:tcW w:type="dxa" w:w="312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Live group, weekly, capped at ~10–12</w:t>
            </w:r>
          </w:p>
        </w:tc>
        <w:tc>
          <w:tcPr>
            <w:tcW w:type="dxa" w:w="312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color w:val="111827"/>
              </w:rPr>
              <w:t xml:space="preserve">$17–$27 / session or $47/mo pass</w:t>
            </w:r>
          </w:p>
        </w:tc>
      </w:tr>
    </w:tbl>
    <w:p>
      <w:pPr>
        <w:spacing w:after="160" w:before="160"/>
      </w:pPr>
      <w:r>
        <w:rPr>
          <w:i/>
          <w:iCs/>
          <w:color w:val="4B5563"/>
        </w:rPr>
        <w:t xml:space="preserve">All prices above are placeholders based on Retirement Bestie's proven structure and your TheoSYN positioning — swap in your final numbers before publishing.</w:t>
      </w:r>
    </w:p>
    <w:p>
      <w:pPr>
        <w:pStyle w:val="Heading2"/>
      </w:pPr>
      <w:r>
        <w:t xml:space="preserve">Community Section</w:t>
      </w:r>
    </w:p>
    <w:p>
      <w:pPr>
        <w:spacing w:after="100"/>
      </w:pPr>
      <w:r>
        <w:rPr>
          <w:b/>
          <w:bCs/>
          <w:color w:val="111827"/>
        </w:rPr>
        <w:t xml:space="preserve">Section label: </w:t>
      </w:r>
      <w:r>
        <w:rPr>
          <w:color w:val="4B5563"/>
        </w:rPr>
        <w:t xml:space="preserve">THE COMMUNITY</w:t>
      </w:r>
    </w:p>
    <w:p>
      <w:pPr>
        <w:spacing w:after="100"/>
      </w:pPr>
      <w:r>
        <w:rPr>
          <w:b/>
          <w:bCs/>
          <w:color w:val="111827"/>
        </w:rPr>
        <w:t xml:space="preserve">Headline: </w:t>
      </w:r>
      <w:r>
        <w:rPr>
          <w:color w:val="4B5563"/>
        </w:rPr>
        <w:t xml:space="preserve">Where Baby Boomers &amp; Gen X Rise Together</w:t>
      </w:r>
    </w:p>
    <w:p>
      <w:pPr>
        <w:spacing w:after="160"/>
      </w:pPr>
      <w:r>
        <w:t xml:space="preserve">Your Discord server is the free, always-on home base — the equivalent of Retirement Bestie's Facebook group. Position it as a welcoming, judgment-free space to ask questions and celebrate wins, without gendered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wins and “aha!” moments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questions — Milford is active regularly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accountability partners for practicing AI skills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Celebrate every step forward, no matter how small</w:t>
      </w:r>
    </w:p>
    <w:p>
      <w:pPr>
        <w:spacing w:after="100"/>
      </w:pPr>
      <w:r>
        <w:rPr>
          <w:b/>
          <w:bCs/>
          <w:color w:val="111827"/>
        </w:rPr>
        <w:t xml:space="preserve">CTA: </w:t>
      </w:r>
      <w:r>
        <w:rPr>
          <w:color w:val="4B5563"/>
        </w:rPr>
        <w:t xml:space="preserve">JOIN THE DISCORD</w:t>
      </w:r>
    </w:p>
    <w:p>
      <w:pPr>
        <w:spacing w:after="100"/>
      </w:pPr>
      <w:r>
        <w:rPr>
          <w:b/>
          <w:bCs/>
          <w:color w:val="111827"/>
        </w:rPr>
        <w:t xml:space="preserve">Cost: </w:t>
      </w:r>
      <w:r>
        <w:rPr>
          <w:color w:val="4B5563"/>
        </w:rPr>
        <w:t xml:space="preserve">Free, always</w:t>
      </w:r>
    </w:p>
    <w:p>
      <w:pPr>
        <w:pStyle w:val="Heading2"/>
      </w:pPr>
      <w:r>
        <w:t xml:space="preserve">Newsletter / Email Capture</w:t>
      </w:r>
    </w:p>
    <w:p>
      <w:pPr>
        <w:spacing w:after="100"/>
      </w:pPr>
      <w:r>
        <w:rPr>
          <w:b/>
          <w:bCs/>
          <w:color w:val="111827"/>
        </w:rPr>
        <w:t xml:space="preserve">Name: </w:t>
      </w:r>
      <w:r>
        <w:rPr>
          <w:color w:val="4B5563"/>
        </w:rPr>
        <w:t xml:space="preserve">The TheoSYN Brief (or: The AI Learning Party Newsletter)</w:t>
      </w:r>
    </w:p>
    <w:p>
      <w:pPr>
        <w:spacing w:after="100"/>
      </w:pPr>
      <w:r>
        <w:rPr>
          <w:b/>
          <w:bCs/>
          <w:color w:val="111827"/>
        </w:rPr>
        <w:t xml:space="preserve">Promise: </w:t>
      </w:r>
      <w:r>
        <w:rPr>
          <w:color w:val="4B5563"/>
        </w:rPr>
        <w:t xml:space="preserve">Bi-weekly AI tips, practical how-tos, and encouragement — no fluff, no jargon</w:t>
      </w:r>
    </w:p>
    <w:p>
      <w:pPr>
        <w:spacing w:after="100"/>
      </w:pPr>
      <w:r>
        <w:rPr>
          <w:b/>
          <w:bCs/>
          <w:color w:val="111827"/>
        </w:rPr>
        <w:t xml:space="preserve">Status: </w:t>
      </w:r>
      <w:r>
        <w:rPr>
          <w:color w:val="4B5563"/>
        </w:rPr>
        <w:t xml:space="preserve">Coming soon — mirrors Retirement Bestie's “The Bestie Brief” email capture, repositioned under the TheoSYN name</w:t>
      </w:r>
    </w:p>
    <w:p>
      <w:pPr>
        <w:pStyle w:val="Heading2"/>
      </w:pPr>
      <w:r>
        <w:t xml:space="preserve">Footer</w:t>
      </w:r>
    </w:p>
    <w:p>
      <w:pPr>
        <w:spacing w:after="160"/>
      </w:pPr>
      <w:r>
        <w:t xml:space="preserve">Standard footer: TheoSYN AI Learning Party logo/wordmark, links to About Milford, Discord, Contact, and a short line tying back to the parent brand: “A program by TheoSYN Labs.” This keeps trust flowing from your established business without confusing the two offers.</w:t>
      </w:r>
    </w:p>
    <w:p>
      <w:pPr>
        <w:pStyle w:val="Heading1"/>
      </w:pPr>
      <w:r>
        <w:t xml:space="preserve">4. Open Items Before Build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final pricing for all three offers (placeholders above).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Decide whether “TheoSYN AI Learning Party” is a sub-brand of TheoSYN Labs (recommended, reuses your credibility) or a fully separate brand.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Gather 3–5 real photos of Baby Boomer/Gen X-age people actively engaged with tech (not stressed/confused stock photos) for the hero collage.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 Discord server name/invite link and whether it's public or application-gated.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Decide the Foundation Course module outline (this doc assumes 4–6 modules — confirm actual curriculum).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Once confirmed, this copy can go straight into a single-page site build (HTML or your platform of choice) using the design system in Section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DC26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F59E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2026-06-22T11:58:37.748Z</dcterms:created>
  <dcterms:modified xsi:type="dcterms:W3CDTF">2026-06-22T11:58:37.748Z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