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5A690" w14:textId="298F89B8" w:rsidR="00A1098D" w:rsidRDefault="00666948" w:rsidP="00666948">
      <w:pPr>
        <w:pStyle w:val="Heading1"/>
        <w:jc w:val="center"/>
        <w:rPr>
          <w:rFonts w:hint="eastAsia"/>
        </w:rPr>
      </w:pPr>
      <w:r>
        <w:t>Pathogen Detection – Salmonella</w:t>
      </w:r>
    </w:p>
    <w:p w14:paraId="77897E1C" w14:textId="38E835AF" w:rsidR="00A4787D" w:rsidRDefault="00666948" w:rsidP="00A4787D">
      <w:pPr>
        <w:rPr>
          <w:rFonts w:hint="eastAsia"/>
        </w:rPr>
      </w:pPr>
      <w:r w:rsidRPr="00666948">
        <w:t>Advances in DNA sequencing technology have made it possible for scientists all over the world to sequence complete microbial genomes rapidly and efficiently. Access to the DNA sequences of entire microbial genomes offers new opportunities to analy</w:t>
      </w:r>
      <w:r w:rsidR="006E2C2F">
        <w:t>s</w:t>
      </w:r>
      <w:r w:rsidRPr="00666948">
        <w:t xml:space="preserve">e and understand microorganism at the molecular level. </w:t>
      </w:r>
      <w:r w:rsidR="00A4787D">
        <w:t>Whole-genome sequencing allows us</w:t>
      </w:r>
      <w:r w:rsidRPr="00666948">
        <w:t xml:space="preserve"> to detect pathogens in biological tissues and study variations in gene expression in response to the pathogenic invasion. These responses help in designing novel approaches for microbial pathogen detection and drug development. Identification of certain microbial pathogens as etiologic agents responsible for chronic diseases is leading to new treatments and prevention strategies for these diseases.</w:t>
      </w:r>
      <w:r w:rsidRPr="00666948">
        <w:br/>
        <w:t>Pathogen Detection Mechanism</w:t>
      </w:r>
    </w:p>
    <w:p w14:paraId="17F9FF27" w14:textId="77777777" w:rsidR="00755904" w:rsidRDefault="00755904" w:rsidP="00755904">
      <w:pPr>
        <w:keepNext/>
        <w:jc w:val="center"/>
        <w:rPr>
          <w:rFonts w:hint="eastAsia"/>
        </w:rPr>
      </w:pPr>
      <w:r>
        <w:rPr>
          <w:noProof/>
        </w:rPr>
        <w:drawing>
          <wp:inline distT="0" distB="0" distL="0" distR="0" wp14:anchorId="03229B39" wp14:editId="446F1244">
            <wp:extent cx="4499161" cy="3771900"/>
            <wp:effectExtent l="76200" t="76200" r="73025" b="76200"/>
            <wp:docPr id="715903175" name="Picture 1" descr="Salmonella - Wikipedia">
              <a:extLst xmlns:a="http://schemas.openxmlformats.org/drawingml/2006/main">
                <a:ext uri="{FF2B5EF4-FFF2-40B4-BE49-F238E27FC236}">
                  <a16:creationId xmlns:a16="http://schemas.microsoft.com/office/drawing/2014/main" id="{489F9A94-66E7-4EED-B685-A824EACA5C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lmonella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6993" cy="3795233"/>
                    </a:xfrm>
                    <a:prstGeom prst="rect">
                      <a:avLst/>
                    </a:prstGeom>
                    <a:noFill/>
                    <a:ln w="76200">
                      <a:solidFill>
                        <a:schemeClr val="accent1"/>
                      </a:solidFill>
                    </a:ln>
                  </pic:spPr>
                </pic:pic>
              </a:graphicData>
            </a:graphic>
          </wp:inline>
        </w:drawing>
      </w:r>
    </w:p>
    <w:p w14:paraId="4A2EB364" w14:textId="617F44A4" w:rsidR="00755904" w:rsidRPr="00666948" w:rsidRDefault="00755904" w:rsidP="00755904">
      <w:pPr>
        <w:pStyle w:val="Caption"/>
        <w:jc w:val="center"/>
        <w:rPr>
          <w:rFonts w:hint="eastAsia"/>
        </w:rPr>
      </w:pPr>
      <w:r>
        <w:t xml:space="preserve">Figure </w:t>
      </w:r>
      <w:r>
        <w:fldChar w:fldCharType="begin"/>
      </w:r>
      <w:r>
        <w:instrText xml:space="preserve"> SEQ Figure \* ARABIC </w:instrText>
      </w:r>
      <w:r>
        <w:fldChar w:fldCharType="separate"/>
      </w:r>
      <w:r>
        <w:rPr>
          <w:noProof/>
        </w:rPr>
        <w:t>1</w:t>
      </w:r>
      <w:r>
        <w:fldChar w:fldCharType="end"/>
      </w:r>
      <w:r>
        <w:t>: Colour-enhanced scanning electron micrograph showing Salmonella enterica (red) invading human cells.</w:t>
      </w:r>
    </w:p>
    <w:p w14:paraId="0A89B231" w14:textId="77777777" w:rsidR="00A4787D" w:rsidRDefault="00666948" w:rsidP="00A4787D">
      <w:pPr>
        <w:rPr>
          <w:rFonts w:hint="eastAsia"/>
        </w:rPr>
      </w:pPr>
      <w:r w:rsidRPr="00666948">
        <w:rPr>
          <w:i/>
          <w:iCs/>
        </w:rPr>
        <w:t>Salmonella enterica</w:t>
      </w:r>
      <w:r w:rsidRPr="00666948">
        <w:t xml:space="preserve"> (formerly </w:t>
      </w:r>
      <w:r w:rsidRPr="00666948">
        <w:rPr>
          <w:i/>
          <w:iCs/>
        </w:rPr>
        <w:t>Salmonella choleraesuis)</w:t>
      </w:r>
      <w:r w:rsidRPr="00666948">
        <w:t xml:space="preserve"> is a rod-headed, flagellate, facultative anaerobic, Gram-negative bacterium and a species of the genus Salmonella. A number of its serovars are serious human pathogens; many of them are (more specifically) serovars of </w:t>
      </w:r>
      <w:r w:rsidRPr="00666948">
        <w:rPr>
          <w:i/>
          <w:iCs/>
        </w:rPr>
        <w:t>Salmonella enterica</w:t>
      </w:r>
      <w:r w:rsidRPr="00666948">
        <w:t xml:space="preserve">. </w:t>
      </w:r>
    </w:p>
    <w:p w14:paraId="04588B06" w14:textId="129D59B2" w:rsidR="00666948" w:rsidRPr="00666948" w:rsidRDefault="00666948" w:rsidP="00755904">
      <w:pPr>
        <w:rPr>
          <w:rFonts w:hint="eastAsia"/>
        </w:rPr>
      </w:pPr>
      <w:r>
        <w:t xml:space="preserve">Most cases of salmonellosis are caused by food infected with S. enterica, which often infects cattle and poultry, though other animals such as domestic cats and hamsters have also been shown to be sources of infection in humans. </w:t>
      </w:r>
    </w:p>
    <w:p w14:paraId="20829EFE" w14:textId="7F1C6BD2" w:rsidR="1525F716" w:rsidRDefault="1525F716" w:rsidP="1525F716">
      <w:pPr>
        <w:rPr>
          <w:rFonts w:hint="eastAsia"/>
          <w:b/>
          <w:bCs/>
        </w:rPr>
      </w:pPr>
    </w:p>
    <w:p w14:paraId="60D9FEC0" w14:textId="5E634AD7" w:rsidR="00666948" w:rsidRDefault="00755904" w:rsidP="00666948">
      <w:pPr>
        <w:rPr>
          <w:rFonts w:hint="eastAsia"/>
          <w:b/>
          <w:bCs/>
        </w:rPr>
      </w:pPr>
      <w:r>
        <w:rPr>
          <w:b/>
          <w:bCs/>
        </w:rPr>
        <w:t>Dataset Description</w:t>
      </w:r>
    </w:p>
    <w:p w14:paraId="4D850234" w14:textId="77777777" w:rsidR="00EB0551" w:rsidRDefault="00845CBA" w:rsidP="00666948">
      <w:pPr>
        <w:rPr>
          <w:rFonts w:hint="eastAsia"/>
        </w:rPr>
      </w:pPr>
      <w:r>
        <w:t xml:space="preserve">The dataset </w:t>
      </w:r>
      <w:r w:rsidR="00D72B10" w:rsidRPr="00D72B10">
        <w:rPr>
          <w:color w:val="215E99" w:themeColor="text2" w:themeTint="BF"/>
        </w:rPr>
        <w:t>pathogen_detection_salmonella.csv</w:t>
      </w:r>
      <w:r w:rsidR="00D72B10">
        <w:rPr>
          <w:color w:val="215E99" w:themeColor="text2" w:themeTint="BF"/>
        </w:rPr>
        <w:t xml:space="preserve"> </w:t>
      </w:r>
      <w:r w:rsidR="00D840BA">
        <w:t xml:space="preserve">describes 558,820 </w:t>
      </w:r>
      <w:r w:rsidR="00862B8B">
        <w:t>observations</w:t>
      </w:r>
      <w:r w:rsidR="00D840BA">
        <w:t xml:space="preserve"> of </w:t>
      </w:r>
      <w:r w:rsidR="00D840BA">
        <w:rPr>
          <w:i/>
          <w:iCs/>
        </w:rPr>
        <w:t>Salmonella enterica</w:t>
      </w:r>
      <w:r w:rsidR="00862B8B">
        <w:t xml:space="preserve"> taken from environmental sampling. The data includes information about the date and broad location of the sample, a</w:t>
      </w:r>
      <w:r w:rsidR="002C0883">
        <w:t>long with the source of the sample</w:t>
      </w:r>
      <w:r w:rsidR="006A19A5">
        <w:t xml:space="preserve">. </w:t>
      </w:r>
      <w:r w:rsidR="005C3246">
        <w:t>There is also detailed genetic information about the sample, including serotype,</w:t>
      </w:r>
      <w:r w:rsidR="00EB0551">
        <w:t xml:space="preserve"> Isolate,</w:t>
      </w:r>
      <w:r w:rsidR="005C3246">
        <w:t xml:space="preserve"> </w:t>
      </w:r>
      <w:r w:rsidR="002C52EF">
        <w:t>SNP cluster</w:t>
      </w:r>
      <w:r w:rsidR="00EB0551">
        <w:t xml:space="preserve"> and</w:t>
      </w:r>
      <w:r w:rsidR="002C52EF">
        <w:t xml:space="preserve"> AMR Genotypes</w:t>
      </w:r>
      <w:r w:rsidR="00EB0551">
        <w:t>. Details about the most relevant features are given below.</w:t>
      </w:r>
    </w:p>
    <w:tbl>
      <w:tblPr>
        <w:tblStyle w:val="TableGrid"/>
        <w:tblW w:w="0" w:type="auto"/>
        <w:tblLook w:val="04A0" w:firstRow="1" w:lastRow="0" w:firstColumn="1" w:lastColumn="0" w:noHBand="0" w:noVBand="1"/>
      </w:tblPr>
      <w:tblGrid>
        <w:gridCol w:w="3005"/>
        <w:gridCol w:w="3005"/>
        <w:gridCol w:w="3006"/>
      </w:tblGrid>
      <w:tr w:rsidR="00EB0551" w14:paraId="28B476B2" w14:textId="77777777" w:rsidTr="005B3421">
        <w:tc>
          <w:tcPr>
            <w:tcW w:w="3005" w:type="dxa"/>
            <w:shd w:val="clear" w:color="auto" w:fill="E8E8E8" w:themeFill="background2"/>
          </w:tcPr>
          <w:p w14:paraId="05427E35" w14:textId="5794BD8C" w:rsidR="00EB0551" w:rsidRDefault="00A40ADE" w:rsidP="00666948">
            <w:pPr>
              <w:rPr>
                <w:rFonts w:hint="eastAsia"/>
              </w:rPr>
            </w:pPr>
            <w:r>
              <w:t>Column</w:t>
            </w:r>
          </w:p>
        </w:tc>
        <w:tc>
          <w:tcPr>
            <w:tcW w:w="3005" w:type="dxa"/>
            <w:shd w:val="clear" w:color="auto" w:fill="E8E8E8" w:themeFill="background2"/>
          </w:tcPr>
          <w:p w14:paraId="62F06123" w14:textId="29C9C5FB" w:rsidR="00EB0551" w:rsidRDefault="00A40ADE" w:rsidP="00666948">
            <w:pPr>
              <w:rPr>
                <w:rFonts w:hint="eastAsia"/>
              </w:rPr>
            </w:pPr>
            <w:r>
              <w:t>Data Type</w:t>
            </w:r>
          </w:p>
        </w:tc>
        <w:tc>
          <w:tcPr>
            <w:tcW w:w="3006" w:type="dxa"/>
            <w:shd w:val="clear" w:color="auto" w:fill="E8E8E8" w:themeFill="background2"/>
          </w:tcPr>
          <w:p w14:paraId="3ACB6A29" w14:textId="7C6B4E2E" w:rsidR="00EB0551" w:rsidRDefault="00A40ADE" w:rsidP="00666948">
            <w:pPr>
              <w:rPr>
                <w:rFonts w:hint="eastAsia"/>
              </w:rPr>
            </w:pPr>
            <w:r>
              <w:t>Description</w:t>
            </w:r>
          </w:p>
        </w:tc>
      </w:tr>
      <w:tr w:rsidR="00EB0551" w14:paraId="18CC50BD" w14:textId="77777777" w:rsidTr="005B3421">
        <w:tc>
          <w:tcPr>
            <w:tcW w:w="3005" w:type="dxa"/>
            <w:shd w:val="clear" w:color="auto" w:fill="E8E8E8" w:themeFill="background2"/>
          </w:tcPr>
          <w:p w14:paraId="2E3A4F4D" w14:textId="09A38302" w:rsidR="00EB0551" w:rsidRDefault="00A40ADE" w:rsidP="00666948">
            <w:pPr>
              <w:rPr>
                <w:rFonts w:hint="eastAsia"/>
              </w:rPr>
            </w:pPr>
            <w:r>
              <w:t>“Strain”</w:t>
            </w:r>
          </w:p>
        </w:tc>
        <w:tc>
          <w:tcPr>
            <w:tcW w:w="3005" w:type="dxa"/>
          </w:tcPr>
          <w:p w14:paraId="0E00FF23" w14:textId="6417803A" w:rsidR="00EB0551" w:rsidRDefault="00A40ADE" w:rsidP="00666948">
            <w:pPr>
              <w:rPr>
                <w:rFonts w:hint="eastAsia"/>
              </w:rPr>
            </w:pPr>
            <w:r>
              <w:t>String</w:t>
            </w:r>
            <w:r w:rsidR="00D61B08">
              <w:t>/Category</w:t>
            </w:r>
          </w:p>
        </w:tc>
        <w:tc>
          <w:tcPr>
            <w:tcW w:w="3006" w:type="dxa"/>
          </w:tcPr>
          <w:p w14:paraId="5748A41A" w14:textId="0A3E2CD3" w:rsidR="00EB0551" w:rsidRDefault="00A40ADE" w:rsidP="00666948">
            <w:pPr>
              <w:rPr>
                <w:rFonts w:hint="eastAsia"/>
              </w:rPr>
            </w:pPr>
            <w:r>
              <w:t>The unique code identifying the strain of the isolated sample.</w:t>
            </w:r>
          </w:p>
        </w:tc>
      </w:tr>
      <w:tr w:rsidR="00EB0551" w14:paraId="18ECF19F" w14:textId="77777777" w:rsidTr="005B3421">
        <w:tc>
          <w:tcPr>
            <w:tcW w:w="3005" w:type="dxa"/>
            <w:shd w:val="clear" w:color="auto" w:fill="E8E8E8" w:themeFill="background2"/>
          </w:tcPr>
          <w:p w14:paraId="71422D96" w14:textId="490A869D" w:rsidR="00EB0551" w:rsidRDefault="00D61B08" w:rsidP="00666948">
            <w:pPr>
              <w:rPr>
                <w:rFonts w:hint="eastAsia"/>
              </w:rPr>
            </w:pPr>
            <w:r>
              <w:t>“Serovar”</w:t>
            </w:r>
          </w:p>
        </w:tc>
        <w:tc>
          <w:tcPr>
            <w:tcW w:w="3005" w:type="dxa"/>
          </w:tcPr>
          <w:p w14:paraId="12DBC5E9" w14:textId="5AE7F37D" w:rsidR="00EB0551" w:rsidRDefault="00D61B08" w:rsidP="00666948">
            <w:pPr>
              <w:rPr>
                <w:rFonts w:hint="eastAsia"/>
              </w:rPr>
            </w:pPr>
            <w:r>
              <w:t>String/Category</w:t>
            </w:r>
          </w:p>
        </w:tc>
        <w:tc>
          <w:tcPr>
            <w:tcW w:w="3006" w:type="dxa"/>
          </w:tcPr>
          <w:p w14:paraId="14443D36" w14:textId="5337B8D3" w:rsidR="00EB0551" w:rsidRDefault="00D61B08" w:rsidP="00666948">
            <w:pPr>
              <w:rPr>
                <w:rFonts w:hint="eastAsia"/>
              </w:rPr>
            </w:pPr>
            <w:r>
              <w:t>The serovar of the isolated sample.</w:t>
            </w:r>
          </w:p>
        </w:tc>
      </w:tr>
      <w:tr w:rsidR="00EB0551" w14:paraId="44417B1D" w14:textId="77777777" w:rsidTr="005B3421">
        <w:tc>
          <w:tcPr>
            <w:tcW w:w="3005" w:type="dxa"/>
            <w:shd w:val="clear" w:color="auto" w:fill="E8E8E8" w:themeFill="background2"/>
          </w:tcPr>
          <w:p w14:paraId="54FE32A8" w14:textId="356D3356" w:rsidR="00EB0551" w:rsidRDefault="00F668CB" w:rsidP="00666948">
            <w:pPr>
              <w:rPr>
                <w:rFonts w:hint="eastAsia"/>
              </w:rPr>
            </w:pPr>
            <w:r>
              <w:t>“Create date”</w:t>
            </w:r>
          </w:p>
        </w:tc>
        <w:tc>
          <w:tcPr>
            <w:tcW w:w="3005" w:type="dxa"/>
          </w:tcPr>
          <w:p w14:paraId="36EA4554" w14:textId="61F533C7" w:rsidR="00EB0551" w:rsidRDefault="00F668CB" w:rsidP="00666948">
            <w:pPr>
              <w:rPr>
                <w:rFonts w:hint="eastAsia"/>
              </w:rPr>
            </w:pPr>
            <w:r>
              <w:t>String</w:t>
            </w:r>
          </w:p>
        </w:tc>
        <w:tc>
          <w:tcPr>
            <w:tcW w:w="3006" w:type="dxa"/>
          </w:tcPr>
          <w:p w14:paraId="54726960" w14:textId="2A4F0BF6" w:rsidR="00EB0551" w:rsidRDefault="00F668CB" w:rsidP="00666948">
            <w:pPr>
              <w:rPr>
                <w:rFonts w:hint="eastAsia"/>
              </w:rPr>
            </w:pPr>
            <w:r>
              <w:t>The date of sampling, formatted as yyy-mm-dd</w:t>
            </w:r>
          </w:p>
        </w:tc>
      </w:tr>
      <w:tr w:rsidR="00EB0551" w14:paraId="2962E831" w14:textId="77777777" w:rsidTr="005B3421">
        <w:tc>
          <w:tcPr>
            <w:tcW w:w="3005" w:type="dxa"/>
            <w:shd w:val="clear" w:color="auto" w:fill="E8E8E8" w:themeFill="background2"/>
          </w:tcPr>
          <w:p w14:paraId="1F1CEF50" w14:textId="2637363B" w:rsidR="00EB0551" w:rsidRDefault="00F668CB" w:rsidP="00666948">
            <w:pPr>
              <w:rPr>
                <w:rFonts w:hint="eastAsia"/>
              </w:rPr>
            </w:pPr>
            <w:r>
              <w:t>“Location”</w:t>
            </w:r>
          </w:p>
        </w:tc>
        <w:tc>
          <w:tcPr>
            <w:tcW w:w="3005" w:type="dxa"/>
          </w:tcPr>
          <w:p w14:paraId="3415997E" w14:textId="106620C0" w:rsidR="00EB0551" w:rsidRDefault="00F668CB" w:rsidP="00666948">
            <w:pPr>
              <w:rPr>
                <w:rFonts w:hint="eastAsia"/>
              </w:rPr>
            </w:pPr>
            <w:r>
              <w:t>String/Category</w:t>
            </w:r>
          </w:p>
        </w:tc>
        <w:tc>
          <w:tcPr>
            <w:tcW w:w="3006" w:type="dxa"/>
          </w:tcPr>
          <w:p w14:paraId="3BAE50EA" w14:textId="57C642B6" w:rsidR="00EB0551" w:rsidRDefault="00F668CB" w:rsidP="00666948">
            <w:pPr>
              <w:rPr>
                <w:rFonts w:hint="eastAsia"/>
              </w:rPr>
            </w:pPr>
            <w:r>
              <w:t>The broad location of the sample (e.g. USA:NY)</w:t>
            </w:r>
          </w:p>
        </w:tc>
      </w:tr>
      <w:tr w:rsidR="00EB0551" w14:paraId="6A3EEDFA" w14:textId="77777777" w:rsidTr="005B3421">
        <w:tc>
          <w:tcPr>
            <w:tcW w:w="3005" w:type="dxa"/>
            <w:shd w:val="clear" w:color="auto" w:fill="E8E8E8" w:themeFill="background2"/>
          </w:tcPr>
          <w:p w14:paraId="527268B5" w14:textId="7765334C" w:rsidR="00EB0551" w:rsidRDefault="00F668CB" w:rsidP="00666948">
            <w:pPr>
              <w:rPr>
                <w:rFonts w:hint="eastAsia"/>
              </w:rPr>
            </w:pPr>
            <w:r>
              <w:t>“Isolation source”</w:t>
            </w:r>
          </w:p>
        </w:tc>
        <w:tc>
          <w:tcPr>
            <w:tcW w:w="3005" w:type="dxa"/>
          </w:tcPr>
          <w:p w14:paraId="0A27B77B" w14:textId="6A0A07A0" w:rsidR="00EB0551" w:rsidRDefault="00F668CB" w:rsidP="00666948">
            <w:pPr>
              <w:rPr>
                <w:rFonts w:hint="eastAsia"/>
              </w:rPr>
            </w:pPr>
            <w:r>
              <w:t>String</w:t>
            </w:r>
          </w:p>
        </w:tc>
        <w:tc>
          <w:tcPr>
            <w:tcW w:w="3006" w:type="dxa"/>
          </w:tcPr>
          <w:p w14:paraId="30B6A75A" w14:textId="20B5B3D1" w:rsidR="00EB0551" w:rsidRDefault="00F668CB" w:rsidP="00666948">
            <w:pPr>
              <w:rPr>
                <w:rFonts w:hint="eastAsia"/>
              </w:rPr>
            </w:pPr>
            <w:r>
              <w:t>The source of the sample, e.g. “Chicken Breast”.</w:t>
            </w:r>
          </w:p>
        </w:tc>
      </w:tr>
      <w:tr w:rsidR="00F668CB" w14:paraId="32308121" w14:textId="77777777" w:rsidTr="005B3421">
        <w:tc>
          <w:tcPr>
            <w:tcW w:w="3005" w:type="dxa"/>
            <w:shd w:val="clear" w:color="auto" w:fill="E8E8E8" w:themeFill="background2"/>
          </w:tcPr>
          <w:p w14:paraId="07AE1A25" w14:textId="6DB82D07" w:rsidR="00F668CB" w:rsidRDefault="00F668CB" w:rsidP="00666948">
            <w:pPr>
              <w:rPr>
                <w:rFonts w:hint="eastAsia"/>
              </w:rPr>
            </w:pPr>
            <w:r>
              <w:t>“SNP cluster”</w:t>
            </w:r>
          </w:p>
        </w:tc>
        <w:tc>
          <w:tcPr>
            <w:tcW w:w="3005" w:type="dxa"/>
          </w:tcPr>
          <w:p w14:paraId="3D2DC23A" w14:textId="1A5E0F35" w:rsidR="00F668CB" w:rsidRDefault="00F668CB" w:rsidP="00666948">
            <w:pPr>
              <w:rPr>
                <w:rFonts w:hint="eastAsia"/>
              </w:rPr>
            </w:pPr>
            <w:r>
              <w:t>String/Category</w:t>
            </w:r>
          </w:p>
        </w:tc>
        <w:tc>
          <w:tcPr>
            <w:tcW w:w="3006" w:type="dxa"/>
          </w:tcPr>
          <w:p w14:paraId="1F80FB2C" w14:textId="0A0733A1" w:rsidR="00F668CB" w:rsidRDefault="003D559F" w:rsidP="00666948">
            <w:pPr>
              <w:rPr>
                <w:rFonts w:hint="eastAsia"/>
              </w:rPr>
            </w:pPr>
            <w:r>
              <w:t xml:space="preserve">The SNP cluster targeted </w:t>
            </w:r>
            <w:r w:rsidR="00B02881">
              <w:t>in the serotyping.</w:t>
            </w:r>
          </w:p>
        </w:tc>
      </w:tr>
      <w:tr w:rsidR="00F668CB" w14:paraId="02D8A2E1" w14:textId="77777777" w:rsidTr="005B3421">
        <w:tc>
          <w:tcPr>
            <w:tcW w:w="3005" w:type="dxa"/>
            <w:shd w:val="clear" w:color="auto" w:fill="E8E8E8" w:themeFill="background2"/>
          </w:tcPr>
          <w:p w14:paraId="09D6A708" w14:textId="3BAD8DCB" w:rsidR="00F668CB" w:rsidRDefault="00DD25F8" w:rsidP="00666948">
            <w:pPr>
              <w:rPr>
                <w:rFonts w:hint="eastAsia"/>
              </w:rPr>
            </w:pPr>
            <w:r>
              <w:t>“AMR genotypes</w:t>
            </w:r>
            <w:r w:rsidR="00881F84">
              <w:t>”</w:t>
            </w:r>
          </w:p>
        </w:tc>
        <w:tc>
          <w:tcPr>
            <w:tcW w:w="3005" w:type="dxa"/>
          </w:tcPr>
          <w:p w14:paraId="0AD2A1CB" w14:textId="6AF95F6F" w:rsidR="00F668CB" w:rsidRDefault="00881F84" w:rsidP="00666948">
            <w:pPr>
              <w:rPr>
                <w:rFonts w:hint="eastAsia"/>
              </w:rPr>
            </w:pPr>
            <w:r>
              <w:t>String/Category</w:t>
            </w:r>
          </w:p>
        </w:tc>
        <w:tc>
          <w:tcPr>
            <w:tcW w:w="3006" w:type="dxa"/>
          </w:tcPr>
          <w:p w14:paraId="4D95B1F3" w14:textId="1527B01D" w:rsidR="00F668CB" w:rsidRDefault="00881F84" w:rsidP="00666948">
            <w:pPr>
              <w:rPr>
                <w:rFonts w:hint="eastAsia"/>
              </w:rPr>
            </w:pPr>
            <w:r>
              <w:t>Presence of genes associated with antimicrobial resistance</w:t>
            </w:r>
            <w:r w:rsidR="00F645BF">
              <w:t xml:space="preserve"> (see below). </w:t>
            </w:r>
          </w:p>
        </w:tc>
      </w:tr>
    </w:tbl>
    <w:p w14:paraId="4C14AC6B" w14:textId="55523340" w:rsidR="00755904" w:rsidRDefault="002C52EF" w:rsidP="00666948">
      <w:pPr>
        <w:rPr>
          <w:rFonts w:hint="eastAsia"/>
        </w:rPr>
      </w:pPr>
      <w:r>
        <w:t xml:space="preserve"> </w:t>
      </w:r>
      <w:r w:rsidR="005C3246">
        <w:t xml:space="preserve"> </w:t>
      </w:r>
    </w:p>
    <w:p w14:paraId="412DE829" w14:textId="726F1FED" w:rsidR="005B3421" w:rsidRPr="00862B8B" w:rsidRDefault="00C820FB" w:rsidP="00666948">
      <w:pPr>
        <w:rPr>
          <w:rFonts w:hint="eastAsia"/>
        </w:rPr>
      </w:pPr>
      <w:r>
        <w:t>*</w:t>
      </w:r>
      <w:r w:rsidR="00BC45D4">
        <w:t>The data in the “AMR genotypes</w:t>
      </w:r>
      <w:r w:rsidR="008049C3">
        <w:t xml:space="preserve">” column is structured as a list </w:t>
      </w:r>
      <w:r w:rsidR="00E062B1">
        <w:t xml:space="preserve">of genes, along with a </w:t>
      </w:r>
      <w:r w:rsidR="00F05FC2">
        <w:t>“COMPLETE” or “MISTRAN</w:t>
      </w:r>
      <w:r w:rsidR="0015332A">
        <w:t>S</w:t>
      </w:r>
      <w:r w:rsidR="00F05FC2">
        <w:t>LATION”</w:t>
      </w:r>
      <w:r w:rsidR="0015332A">
        <w:t xml:space="preserve"> tag. For example, </w:t>
      </w:r>
      <w:r w:rsidR="00611BC5">
        <w:t>one entry might be “</w:t>
      </w:r>
      <w:r w:rsidR="00611BC5" w:rsidRPr="00611BC5">
        <w:t>mdsA=COMPLETE,mdsB=</w:t>
      </w:r>
      <w:r w:rsidR="00611BC5">
        <w:t xml:space="preserve">MISTRANSLATION” which would indicate the presence of a complete </w:t>
      </w:r>
      <w:r>
        <w:t xml:space="preserve">sequence for gene “mdsA” and a partially mistranslated gene “mdsB”. </w:t>
      </w:r>
    </w:p>
    <w:sectPr w:rsidR="005B3421" w:rsidRPr="00862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C28"/>
    <w:rsid w:val="000012DD"/>
    <w:rsid w:val="000C533F"/>
    <w:rsid w:val="0015332A"/>
    <w:rsid w:val="0023497D"/>
    <w:rsid w:val="002C0883"/>
    <w:rsid w:val="002C52EF"/>
    <w:rsid w:val="003D559F"/>
    <w:rsid w:val="0045198A"/>
    <w:rsid w:val="005136E0"/>
    <w:rsid w:val="00542DFC"/>
    <w:rsid w:val="005B3421"/>
    <w:rsid w:val="005C3246"/>
    <w:rsid w:val="00611BC5"/>
    <w:rsid w:val="00666948"/>
    <w:rsid w:val="00686B2A"/>
    <w:rsid w:val="006A19A5"/>
    <w:rsid w:val="006E2C2F"/>
    <w:rsid w:val="00701AE3"/>
    <w:rsid w:val="00732437"/>
    <w:rsid w:val="00755904"/>
    <w:rsid w:val="008049C3"/>
    <w:rsid w:val="00817AC6"/>
    <w:rsid w:val="00845CBA"/>
    <w:rsid w:val="00862B8B"/>
    <w:rsid w:val="00881F84"/>
    <w:rsid w:val="00A1098D"/>
    <w:rsid w:val="00A40ADE"/>
    <w:rsid w:val="00A4787D"/>
    <w:rsid w:val="00AA0D0D"/>
    <w:rsid w:val="00AC297A"/>
    <w:rsid w:val="00B02881"/>
    <w:rsid w:val="00B2784E"/>
    <w:rsid w:val="00BC45D4"/>
    <w:rsid w:val="00C37C28"/>
    <w:rsid w:val="00C820FB"/>
    <w:rsid w:val="00D2492C"/>
    <w:rsid w:val="00D61B08"/>
    <w:rsid w:val="00D72B10"/>
    <w:rsid w:val="00D840BA"/>
    <w:rsid w:val="00DD25F8"/>
    <w:rsid w:val="00E062B1"/>
    <w:rsid w:val="00E75616"/>
    <w:rsid w:val="00EB0551"/>
    <w:rsid w:val="00EC786E"/>
    <w:rsid w:val="00EF670A"/>
    <w:rsid w:val="00F05FC2"/>
    <w:rsid w:val="00F645BF"/>
    <w:rsid w:val="00F668CB"/>
    <w:rsid w:val="1525F7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D75FE8B"/>
  <w15:chartTrackingRefBased/>
  <w15:docId w15:val="{6EDCB337-3383-400C-9586-31962AD95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C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7C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C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C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C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C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C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C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C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C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7C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7C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C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C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C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C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C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C28"/>
    <w:rPr>
      <w:rFonts w:eastAsiaTheme="majorEastAsia" w:cstheme="majorBidi"/>
      <w:color w:val="272727" w:themeColor="text1" w:themeTint="D8"/>
    </w:rPr>
  </w:style>
  <w:style w:type="paragraph" w:styleId="Title">
    <w:name w:val="Title"/>
    <w:basedOn w:val="Normal"/>
    <w:next w:val="Normal"/>
    <w:link w:val="TitleChar"/>
    <w:uiPriority w:val="10"/>
    <w:qFormat/>
    <w:rsid w:val="00C37C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C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C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C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C28"/>
    <w:pPr>
      <w:spacing w:before="160"/>
      <w:jc w:val="center"/>
    </w:pPr>
    <w:rPr>
      <w:i/>
      <w:iCs/>
      <w:color w:val="404040" w:themeColor="text1" w:themeTint="BF"/>
    </w:rPr>
  </w:style>
  <w:style w:type="character" w:customStyle="1" w:styleId="QuoteChar">
    <w:name w:val="Quote Char"/>
    <w:basedOn w:val="DefaultParagraphFont"/>
    <w:link w:val="Quote"/>
    <w:uiPriority w:val="29"/>
    <w:rsid w:val="00C37C28"/>
    <w:rPr>
      <w:i/>
      <w:iCs/>
      <w:color w:val="404040" w:themeColor="text1" w:themeTint="BF"/>
    </w:rPr>
  </w:style>
  <w:style w:type="paragraph" w:styleId="ListParagraph">
    <w:name w:val="List Paragraph"/>
    <w:basedOn w:val="Normal"/>
    <w:uiPriority w:val="34"/>
    <w:qFormat/>
    <w:rsid w:val="00C37C28"/>
    <w:pPr>
      <w:ind w:left="720"/>
      <w:contextualSpacing/>
    </w:pPr>
  </w:style>
  <w:style w:type="character" w:styleId="IntenseEmphasis">
    <w:name w:val="Intense Emphasis"/>
    <w:basedOn w:val="DefaultParagraphFont"/>
    <w:uiPriority w:val="21"/>
    <w:qFormat/>
    <w:rsid w:val="00C37C28"/>
    <w:rPr>
      <w:i/>
      <w:iCs/>
      <w:color w:val="0F4761" w:themeColor="accent1" w:themeShade="BF"/>
    </w:rPr>
  </w:style>
  <w:style w:type="paragraph" w:styleId="IntenseQuote">
    <w:name w:val="Intense Quote"/>
    <w:basedOn w:val="Normal"/>
    <w:next w:val="Normal"/>
    <w:link w:val="IntenseQuoteChar"/>
    <w:uiPriority w:val="30"/>
    <w:qFormat/>
    <w:rsid w:val="00C37C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C28"/>
    <w:rPr>
      <w:i/>
      <w:iCs/>
      <w:color w:val="0F4761" w:themeColor="accent1" w:themeShade="BF"/>
    </w:rPr>
  </w:style>
  <w:style w:type="character" w:styleId="IntenseReference">
    <w:name w:val="Intense Reference"/>
    <w:basedOn w:val="DefaultParagraphFont"/>
    <w:uiPriority w:val="32"/>
    <w:qFormat/>
    <w:rsid w:val="00C37C28"/>
    <w:rPr>
      <w:b/>
      <w:bCs/>
      <w:smallCaps/>
      <w:color w:val="0F4761" w:themeColor="accent1" w:themeShade="BF"/>
      <w:spacing w:val="5"/>
    </w:rPr>
  </w:style>
  <w:style w:type="paragraph" w:styleId="Caption">
    <w:name w:val="caption"/>
    <w:basedOn w:val="Normal"/>
    <w:next w:val="Normal"/>
    <w:uiPriority w:val="35"/>
    <w:unhideWhenUsed/>
    <w:qFormat/>
    <w:rsid w:val="00755904"/>
    <w:pPr>
      <w:spacing w:after="200" w:line="240" w:lineRule="auto"/>
    </w:pPr>
    <w:rPr>
      <w:i/>
      <w:iCs/>
      <w:color w:val="0E2841" w:themeColor="text2"/>
      <w:sz w:val="18"/>
      <w:szCs w:val="18"/>
    </w:rPr>
  </w:style>
  <w:style w:type="character" w:styleId="Hyperlink">
    <w:name w:val="Hyperlink"/>
    <w:basedOn w:val="DefaultParagraphFont"/>
    <w:uiPriority w:val="99"/>
    <w:unhideWhenUsed/>
    <w:rsid w:val="00845CBA"/>
    <w:rPr>
      <w:color w:val="467886" w:themeColor="hyperlink"/>
      <w:u w:val="single"/>
    </w:rPr>
  </w:style>
  <w:style w:type="character" w:styleId="UnresolvedMention">
    <w:name w:val="Unresolved Mention"/>
    <w:basedOn w:val="DefaultParagraphFont"/>
    <w:uiPriority w:val="99"/>
    <w:semiHidden/>
    <w:unhideWhenUsed/>
    <w:rsid w:val="00845CBA"/>
    <w:rPr>
      <w:color w:val="605E5C"/>
      <w:shd w:val="clear" w:color="auto" w:fill="E1DFDD"/>
    </w:rPr>
  </w:style>
  <w:style w:type="table" w:styleId="TableGrid">
    <w:name w:val="Table Grid"/>
    <w:basedOn w:val="TableNormal"/>
    <w:uiPriority w:val="39"/>
    <w:rsid w:val="00EB0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be04c4f-0cab-4df2-9ab4-d25b4449f461">
      <Terms xmlns="http://schemas.microsoft.com/office/infopath/2007/PartnerControls"/>
    </lcf76f155ced4ddcb4097134ff3c332f>
    <TaxCatchAll xmlns="9da9fc73-37d4-4e7c-84bd-db9f85bb567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77C980FA83669409A8AE3EBB71A5EB1" ma:contentTypeVersion="12" ma:contentTypeDescription="Create a new document." ma:contentTypeScope="" ma:versionID="d67394c680273231fe27a8476618e8af">
  <xsd:schema xmlns:xsd="http://www.w3.org/2001/XMLSchema" xmlns:xs="http://www.w3.org/2001/XMLSchema" xmlns:p="http://schemas.microsoft.com/office/2006/metadata/properties" xmlns:ns2="9be04c4f-0cab-4df2-9ab4-d25b4449f461" xmlns:ns3="9da9fc73-37d4-4e7c-84bd-db9f85bb567c" targetNamespace="http://schemas.microsoft.com/office/2006/metadata/properties" ma:root="true" ma:fieldsID="22ed2de853f190c65b2906c568e90560" ns2:_="" ns3:_="">
    <xsd:import namespace="9be04c4f-0cab-4df2-9ab4-d25b4449f461"/>
    <xsd:import namespace="9da9fc73-37d4-4e7c-84bd-db9f85bb567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e04c4f-0cab-4df2-9ab4-d25b4449f4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306b285-ac2c-4225-b56d-e54690cf9c9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a9fc73-37d4-4e7c-84bd-db9f85bb567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6d9bbed-89d4-4fed-a23b-cb5a41e8c0a2}" ma:internalName="TaxCatchAll" ma:showField="CatchAllData" ma:web="9da9fc73-37d4-4e7c-84bd-db9f85bb56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71400C-588F-4B1C-BEF1-D9B3D1CE47FA}">
  <ds:schemaRefs>
    <ds:schemaRef ds:uri="http://schemas.microsoft.com/sharepoint/v3/contenttype/forms"/>
  </ds:schemaRefs>
</ds:datastoreItem>
</file>

<file path=customXml/itemProps2.xml><?xml version="1.0" encoding="utf-8"?>
<ds:datastoreItem xmlns:ds="http://schemas.openxmlformats.org/officeDocument/2006/customXml" ds:itemID="{5CEDC21F-660C-4E50-A35B-C938ECA9F8E3}">
  <ds:schemaRefs>
    <ds:schemaRef ds:uri="http://schemas.microsoft.com/office/2006/metadata/properties"/>
    <ds:schemaRef ds:uri="http://schemas.microsoft.com/office/infopath/2007/PartnerControls"/>
    <ds:schemaRef ds:uri="9be04c4f-0cab-4df2-9ab4-d25b4449f461"/>
    <ds:schemaRef ds:uri="9da9fc73-37d4-4e7c-84bd-db9f85bb567c"/>
  </ds:schemaRefs>
</ds:datastoreItem>
</file>

<file path=customXml/itemProps3.xml><?xml version="1.0" encoding="utf-8"?>
<ds:datastoreItem xmlns:ds="http://schemas.openxmlformats.org/officeDocument/2006/customXml" ds:itemID="{99D3378E-8DF0-4E90-AF2F-E8FF8F2E7D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e04c4f-0cab-4df2-9ab4-d25b4449f461"/>
    <ds:schemaRef ds:uri="9da9fc73-37d4-4e7c-84bd-db9f85bb56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418</Words>
  <Characters>2388</Characters>
  <Application>Microsoft Office Word</Application>
  <DocSecurity>4</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Shingleton</dc:creator>
  <cp:keywords/>
  <dc:description/>
  <cp:lastModifiedBy>Joseph Shingleton</cp:lastModifiedBy>
  <cp:revision>1</cp:revision>
  <dcterms:created xsi:type="dcterms:W3CDTF">2025-08-04T15:39:00Z</dcterms:created>
  <dcterms:modified xsi:type="dcterms:W3CDTF">2025-08-05T08:24:00Z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0x010100977C980FA83669409A8AE3EBB71A5EB1</vt:lpwstr>
  </property>
  <property fmtid="{D5CDD505-2E9C-101B-9397-08002B2CF9AE}" pid="3" name="MediaServiceImageTags">
    <vt:lpwstr/>
  </property>
</Properties>
</file>