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pacing w:val="-12"/>
          <w:kern w:val="40"/>
          <w:sz w:val="48"/>
          <w:szCs w:val="48"/>
        </w:rPr>
      </w:pPr>
      <w:r>
        <w:rPr>
          <w:spacing w:val="-12"/>
          <w:kern w:val="40"/>
          <w:sz w:val="48"/>
          <w:szCs w:val="48"/>
        </w:rPr>
        <w:t>20</w:t>
      </w:r>
      <w:r>
        <w:rPr>
          <w:rFonts w:hint="eastAsia"/>
          <w:spacing w:val="-12"/>
          <w:kern w:val="40"/>
          <w:sz w:val="48"/>
          <w:szCs w:val="48"/>
          <w:lang w:val="en-US" w:eastAsia="zh-CN"/>
        </w:rPr>
        <w:t>25</w:t>
      </w:r>
      <w:r>
        <w:rPr>
          <w:rFonts w:hAnsi="宋体"/>
          <w:spacing w:val="-12"/>
          <w:kern w:val="40"/>
          <w:sz w:val="48"/>
          <w:szCs w:val="48"/>
        </w:rPr>
        <w:t>年全国大学生电子设计竞赛</w:t>
      </w:r>
    </w:p>
    <w:p>
      <w:pPr>
        <w:jc w:val="center"/>
        <w:rPr>
          <w:spacing w:val="-12"/>
          <w:kern w:val="40"/>
          <w:sz w:val="36"/>
        </w:rPr>
      </w:pPr>
    </w:p>
    <w:p>
      <w:pPr>
        <w:jc w:val="center"/>
        <w:rPr>
          <w:spacing w:val="-12"/>
          <w:kern w:val="40"/>
          <w:sz w:val="36"/>
        </w:rPr>
      </w:pPr>
    </w:p>
    <w:p>
      <w:pPr>
        <w:jc w:val="center"/>
        <w:rPr>
          <w:b/>
          <w:sz w:val="36"/>
          <w:szCs w:val="36"/>
        </w:rPr>
      </w:pPr>
      <w:r>
        <w:rPr>
          <w:rFonts w:hint="eastAsia" w:hAnsi="宋体"/>
          <w:b/>
          <w:sz w:val="36"/>
          <w:szCs w:val="36"/>
          <w:lang w:val="en-US" w:eastAsia="zh-CN"/>
        </w:rPr>
        <w:t>基于单目视觉的目标物测量装置</w:t>
      </w:r>
      <w:r>
        <w:rPr>
          <w:rFonts w:hAnsi="宋体"/>
          <w:b/>
          <w:sz w:val="36"/>
          <w:szCs w:val="36"/>
        </w:rPr>
        <w:t>（</w:t>
      </w:r>
      <w:r>
        <w:rPr>
          <w:rFonts w:hint="eastAsia" w:hAnsi="宋体"/>
          <w:b/>
          <w:sz w:val="36"/>
          <w:szCs w:val="36"/>
          <w:lang w:val="en-US" w:eastAsia="zh-CN"/>
        </w:rPr>
        <w:t>C</w:t>
      </w:r>
      <w:r>
        <w:rPr>
          <w:rFonts w:hAnsi="宋体"/>
          <w:b/>
          <w:sz w:val="36"/>
          <w:szCs w:val="36"/>
        </w:rPr>
        <w:t>题）</w:t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6"/>
          <w:szCs w:val="36"/>
        </w:rPr>
      </w:pPr>
    </w:p>
    <w:p>
      <w:pPr>
        <w:jc w:val="center"/>
        <w:rPr>
          <w:b/>
          <w:sz w:val="32"/>
          <w:szCs w:val="32"/>
        </w:rPr>
      </w:pPr>
      <w:r>
        <w:rPr>
          <w:spacing w:val="-12"/>
          <w:kern w:val="40"/>
          <w:sz w:val="36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99060</wp:posOffset>
            </wp:positionV>
            <wp:extent cx="1440180" cy="902335"/>
            <wp:effectExtent l="0" t="0" r="7620" b="12065"/>
            <wp:wrapNone/>
            <wp:docPr id="6" name="图片 2" descr="logo-b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logo-bw1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FFAFF"/>
                        </a:clrFrom>
                        <a:clrTo>
                          <a:srgbClr val="FFFAFF">
                            <a:alpha val="0"/>
                          </a:srgbClr>
                        </a:clrTo>
                      </a:clrChange>
                      <a:lum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20</w:t>
      </w:r>
      <w:r>
        <w:rPr>
          <w:rFonts w:hint="eastAsia"/>
          <w:b/>
          <w:sz w:val="32"/>
          <w:szCs w:val="32"/>
          <w:lang w:val="en-US" w:eastAsia="zh-CN"/>
        </w:rPr>
        <w:t>25</w:t>
      </w:r>
      <w:r>
        <w:rPr>
          <w:rFonts w:hAnsi="宋体"/>
          <w:b/>
          <w:sz w:val="32"/>
          <w:szCs w:val="32"/>
        </w:rPr>
        <w:t>年</w:t>
      </w:r>
      <w:r>
        <w:rPr>
          <w:b/>
          <w:sz w:val="32"/>
          <w:szCs w:val="32"/>
        </w:rPr>
        <w:t>8</w:t>
      </w:r>
      <w:r>
        <w:rPr>
          <w:rFonts w:hAnsi="宋体"/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  <w:lang w:val="en-US" w:eastAsia="zh-CN"/>
        </w:rPr>
        <w:t>2</w:t>
      </w:r>
      <w:r>
        <w:rPr>
          <w:rFonts w:hAnsi="宋体"/>
          <w:b/>
          <w:sz w:val="32"/>
          <w:szCs w:val="32"/>
        </w:rPr>
        <w:t>日</w:t>
      </w:r>
    </w:p>
    <w:p>
      <w:pPr>
        <w:sectPr>
          <w:footerReference r:id="rId3" w:type="default"/>
          <w:pgSz w:w="11906" w:h="16838"/>
          <w:pgMar w:top="1701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摘要</w:t>
      </w:r>
    </w:p>
    <w:p>
      <w:p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本设计实现了一种基于单目视觉的目标物测量装置。系统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STM32F103ZET6为核心控制器，集成OpenMV摄像头模块、TFTLCD显示屏、供电电流测量电路及按键。采用相似三角形原理和像素比例缩放方法，通过识别A4靶纸黑色边框计算摄像头与目标的距离，并在边框内划定ROI区域识别黑色目标物体以计算其实际尺寸（mm）。测量结果通过串口输出。系统测试表明，该装置在基础形状（正方形、圆形、三角形）的距离和尺寸测量上表现稳定，成功实现了设计要求，但在处理多个目标等复杂场景时精度有待提升。装置集成了供电电流测量功能，并通过LCD实时显示数据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关键词：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STM32F103ZET6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OpenMV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目标识别与定位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检测电路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br w:type="page"/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80" w:afterAutospacing="0" w:line="44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32"/>
          <w:szCs w:val="32"/>
          <w:lang w:val="en-US" w:eastAsia="zh-CN"/>
        </w:rPr>
      </w:pPr>
      <w:r>
        <w:rPr>
          <w:rStyle w:val="10"/>
          <w:rFonts w:hint="eastAsia" w:cs="宋体"/>
          <w:b/>
          <w:bCs/>
          <w:i w:val="0"/>
          <w:iCs w:val="0"/>
          <w:caps w:val="0"/>
          <w:color w:val="4F4F4F"/>
          <w:spacing w:val="0"/>
          <w:sz w:val="32"/>
          <w:szCs w:val="32"/>
          <w:shd w:val="clear" w:fill="FFFFFF"/>
          <w:lang w:val="en-US" w:eastAsia="zh-CN"/>
        </w:rPr>
        <w:t>1.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32"/>
          <w:szCs w:val="32"/>
          <w:shd w:val="clear" w:fill="FFFFFF"/>
        </w:rPr>
        <w:t>系统方案</w:t>
      </w:r>
      <w:r>
        <w:rPr>
          <w:rStyle w:val="10"/>
          <w:rFonts w:hint="eastAsia" w:cs="宋体"/>
          <w:b/>
          <w:bCs/>
          <w:i w:val="0"/>
          <w:iCs w:val="0"/>
          <w:caps w:val="0"/>
          <w:color w:val="4F4F4F"/>
          <w:spacing w:val="0"/>
          <w:sz w:val="32"/>
          <w:szCs w:val="32"/>
          <w:shd w:val="clear" w:fill="FFFFFF"/>
          <w:lang w:val="en-US" w:eastAsia="zh-CN"/>
        </w:rPr>
        <w:t>论证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4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本设计以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STM32f103zet6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为主控，整体系统主要由主控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openmv摄像头模块、7寸TFTLCD显示屏、供电测量电路和按键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组成。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80" w:afterAutospacing="0" w:line="440" w:lineRule="atLeast"/>
        <w:ind w:left="0" w:right="0" w:firstLine="0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</w:rPr>
        <w:t>1.1</w:t>
      </w:r>
      <w:r>
        <w:rPr>
          <w:rFonts w:hint="eastAsia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</w:rPr>
        <w:t>主控模块的</w:t>
      </w:r>
      <w:r>
        <w:rPr>
          <w:rStyle w:val="10"/>
          <w:rFonts w:hint="eastAsia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  <w:t>方案选择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440" w:lineRule="atLeast"/>
        <w:ind w:right="0" w:firstLine="420" w:firstLineChars="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方案一：</w:t>
      </w:r>
      <w:r>
        <w:rPr>
          <w:rFonts w:hint="eastAsia" w:ascii="宋体" w:hAnsi="宋体"/>
          <w:sz w:val="24"/>
          <w:szCs w:val="24"/>
          <w:lang w:val="en-US" w:eastAsia="zh-CN"/>
        </w:rPr>
        <w:t>选用stm32f103c8t6芯片。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440" w:lineRule="atLeast"/>
        <w:ind w:right="0" w:firstLine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优点：stm32f103c8t6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芯片搭载了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单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核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32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位RISC处理器，具有高性能的计算能力；有多个GPIO接口、UART、I2C、SPI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DAC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等常用接口，方便与其他外设进行连接和扩展，满足不同应用场景的需求。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44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缺点：作为精简型的开发板，其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引脚数量不足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（实际可用GPIO约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37个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无法驱动并行屏或多外设系统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资源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较为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紧张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64KB Flash/20KB RAM难运行复杂逻辑或GUI。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440" w:lineRule="atLeast"/>
        <w:ind w:right="0" w:firstLine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eastAsia" w:ascii="宋体" w:hAnsi="宋体"/>
          <w:sz w:val="24"/>
          <w:szCs w:val="24"/>
        </w:rPr>
        <w:t>方案</w:t>
      </w:r>
      <w:r>
        <w:rPr>
          <w:rFonts w:hint="eastAsia" w:ascii="宋体" w:hAnsi="宋体"/>
          <w:sz w:val="24"/>
          <w:szCs w:val="24"/>
          <w:lang w:val="en-US" w:eastAsia="zh-CN"/>
        </w:rPr>
        <w:t>二</w:t>
      </w:r>
      <w:r>
        <w:rPr>
          <w:rFonts w:hint="eastAsia" w:ascii="宋体" w:hAnsi="宋体"/>
          <w:sz w:val="24"/>
          <w:szCs w:val="24"/>
        </w:rPr>
        <w:t>：</w:t>
      </w:r>
      <w:r>
        <w:rPr>
          <w:rFonts w:hint="eastAsia" w:ascii="宋体" w:hAnsi="宋体"/>
          <w:sz w:val="24"/>
          <w:szCs w:val="24"/>
          <w:lang w:val="en-US" w:eastAsia="zh-CN"/>
        </w:rPr>
        <w:t>选用stm32f103ZET6芯片。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4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优点：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与 C8T6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均基于单核 Cortex-M3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，二者在核心架构、位数（32 位）、主频（72MHz）上完全一致。512KB Flash + 64KB RAM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FSMC总线+112个GPIO，驱动RGB屏、外部存储器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压力较小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5个UART+3个SPI+2个CAN，适合复杂系统集成。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4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缺点：核心板成本较高，功耗较大，在长时间工作或要求低功耗的应用中缺陷较为明显。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综合考虑采用方案二，因为stm32f103ZET6具备更强大的内存以及更多的拓展口，允许外接以及和其他设备进行通信，开发性以及性价比更高，考虑到功耗比其他方案更低，适合改命题的要求。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80" w:afterAutospacing="0" w:line="440" w:lineRule="atLeast"/>
        <w:ind w:left="0" w:right="0" w:firstLine="0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</w:rPr>
        <w:t>1.</w:t>
      </w:r>
      <w:r>
        <w:rPr>
          <w:rFonts w:hint="eastAsia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  <w:t xml:space="preserve">2 </w:t>
      </w:r>
      <w:r>
        <w:rPr>
          <w:rStyle w:val="10"/>
          <w:rFonts w:hint="eastAsia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  <w:t>供电电流测量电路方案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</w:rPr>
        <w:t>选择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方案一：BUCK电路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优点：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Buck电路本身转换效率通常很高（可达90%以上），功率损耗低。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宽输入的电压范围同时输出电压可调并且稳定。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缺点：需要额外一路为其供电；因为固定了输入电压，可调输入设计存在冗余；并且传导噪声较为严重；同时增加了复杂性。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方案二：放大电路+ADC采集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优点：ADC测量采样精度较高，同时数字化系统可通过多次试验进行校准与补偿，同时更加灵活，可无需外接供电，同时消耗的功率更小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缺点：对于元器件的精度提出更严格的要求，ADC由于i/o口的限制只能最高测量3.3V，需要转换。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综合考虑，采用方案二，无需额外接入电源，同时功能集中在主控上方便调试，对后续的器件影响小。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理论分析与计算</w:t>
      </w:r>
    </w:p>
    <w:p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2.1</w:t>
      </w:r>
      <w:r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  <w:t>距离测量与物体尺寸计算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系统通过摄像头捕捉图像，识别A4靶纸的黑色边框及其内部的黑色目标物体，实现距离测量和物体尺寸计算，具体流程如下：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2.1.1</w:t>
      </w:r>
      <w:r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黑色边框识别与距离计算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3903980</wp:posOffset>
            </wp:positionH>
            <wp:positionV relativeFrom="paragraph">
              <wp:posOffset>256540</wp:posOffset>
            </wp:positionV>
            <wp:extent cx="2109470" cy="2592705"/>
            <wp:effectExtent l="0" t="0" r="11430" b="10795"/>
            <wp:wrapSquare wrapText="bothSides"/>
            <wp:docPr id="2" name="图片 2" descr="d20d8149c146107eb986cc9b155d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20d8149c146107eb986cc9b155d7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边框定位：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系统在图像中搜索亮度值在150-256（白色区域）的色块，这些区域对应A4靶纸的黑色边框内部。通过筛选最靠近图像中心且面积最小的色块，精准定位边框位置。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距离测量原理：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基于相似三角形原理，利用预标定参数计算距离。标定数</w:t>
      </w:r>
      <w:bookmarkStart w:id="0" w:name="_GoBack"/>
      <w:bookmarkEnd w:id="0"/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据为：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参考距离 Dref=1598mmDref​=1598mm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参考边框高度 Href=120pixelHref​=120pixel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4100195</wp:posOffset>
                </wp:positionH>
                <wp:positionV relativeFrom="paragraph">
                  <wp:posOffset>318770</wp:posOffset>
                </wp:positionV>
                <wp:extent cx="1638300" cy="278765"/>
                <wp:effectExtent l="0" t="0" r="0" b="63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5430" y="9370695"/>
                          <a:ext cx="163830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F4F4F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>图1：目标识别及边长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2.85pt;margin-top:25.1pt;height:21.95pt;width:129pt;z-index:251660288;mso-width-relative:page;mso-height-relative:page;" filled="f" stroked="f" coordsize="21600,21600" o:gfxdata="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qz0k22gAAAAkBAAAPAAAAAAAA&#10;AAEAIAAAACIAAABkcnMvZG93bnJldi54bWxQSwECFAAUAAAACACHTuJALTEAKUkCAABy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i w:val="0"/>
                          <w:iCs w:val="0"/>
                          <w:caps w:val="0"/>
                          <w:color w:val="4F4F4F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>图1：目标识别及边长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当前边框高度 HcurHcur​ 通过图像识别获取，距离计算公式为：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Distance=Dref×HrefHcurDistance=H​D​×H​​该公式表明距离与边框高度成反比。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.1.2</w:t>
      </w:r>
      <w:r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目标物体识别与尺寸计算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ROI优化：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在边框内部划定缩小的检测区域（ROI），避免黑色边框干扰，提升目标识别精度。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物体定位：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在ROI内搜索亮度值在0-150（黑色物体）的色块，选择最靠近中心且面积最大的色块作为目标。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尺寸计算原理：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利用边框的实际物理尺寸（宽度 Wframe=178mmWframe​=178mm) 和像素尺寸的比例关系：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Object Width=(Object Pixel WidthFrame Pixel Width)×WframeObject Width=(Frame Pixel WidthObject Pixel Width​)×Wframe​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通过像素比例缩放，将物体像素宽度转换为实际物理尺寸（mm）。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 xml:space="preserve">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  <w:t>2.2</w:t>
      </w:r>
      <w:r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  <w:t>数据传输与输出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系统通过串口输出测量结果，数据格式为：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Distance×2 (mm),Object Width (mm)Distance×2(mm),Object Width(mm)输出示例："3196.00,89.00" 表示距离为3196 mm，物体宽度为89 mm。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32"/>
          <w:szCs w:val="32"/>
          <w:shd w:val="clear" w:fill="FFFFFF"/>
          <w:lang w:val="en-US" w:eastAsia="zh-CN"/>
        </w:rPr>
        <w:t>3.电路与程序设计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  <w:t>3.1硬件电路设计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3.1.1整体电路设计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电路的连接示意图为图1：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center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3597275" cy="1995170"/>
            <wp:effectExtent l="0" t="0" r="9525" b="11430"/>
            <wp:docPr id="11" name="图片 11" descr="未命名绘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未命名绘图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center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图2：整体电路连接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供电部分：有5V的直流稳压电源进入到供电测量电路，经过检测电路的干路电流分出两路，一路供给openmv摄像头，另一路供给主控，同时TFTLCD屏幕的电源由主控间接连接。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jc w:val="left"/>
        <w:textAlignment w:val="auto"/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信号连接：主控ADC采集连接供电流测量电路；openmv与主控采用串口连接；按钮接地后再与主控连接；TFTLCD与主控采用FSMC并行总线接口。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3.1.2供电电流测量电路设计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center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4163060</wp:posOffset>
            </wp:positionH>
            <wp:positionV relativeFrom="paragraph">
              <wp:posOffset>1337945</wp:posOffset>
            </wp:positionV>
            <wp:extent cx="1772920" cy="3810635"/>
            <wp:effectExtent l="0" t="0" r="5080" b="12065"/>
            <wp:wrapSquare wrapText="bothSides"/>
            <wp:docPr id="8" name="图片 8" descr="5cf2122d0fd2a25d65596b494cb3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cf2122d0fd2a25d65596b494cb3ab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2927350" cy="1578610"/>
            <wp:effectExtent l="0" t="0" r="6350" b="8890"/>
            <wp:docPr id="14" name="图片 14" descr="3853227664fa8605fe61a2c5d11cc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853227664fa8605fe61a2c5d11cc5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center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图3：测量电路设计，其中电压表处为ADC接口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center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本电路为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高精度电流检测模块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，核心采用双运放M358P构建差分放大结构。主电流通路串联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500Ω采样电阻R2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，在其两端产生压降。通过R3-R6（4×510Ω）组成对称电阻网络抑制共模干扰，配合U1A运放构成差分放大器，由R7-R8（20kΩ）设定20倍固定增益（增益=1+R7/R2）。最终将采样压差线性放大，输出0-3.3V标准信号至MCU的ADC接口。C1（100nF）滤除高频噪声，确保测量稳定性。该设计无需独立供电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电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耗低于2mA，适用于STM32系统的实时电流监控。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144780</wp:posOffset>
                </wp:positionV>
                <wp:extent cx="1806575" cy="374015"/>
                <wp:effectExtent l="0" t="0" r="9525" b="698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21935" y="8654415"/>
                          <a:ext cx="1806575" cy="374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图4：设计计算过程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8.45pt;margin-top:11.4pt;height:29.45pt;width:142.25pt;z-index:251664384;mso-width-relative:page;mso-height-relative:page;" fillcolor="#FFFFFF [3201]" filled="t" stroked="f" coordsize="21600,21600" o:gfxdata="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fAmR&#10;89UAAAAJAQAADwAAAAAAAAABACAAAAAiAAAAZHJzL2Rvd25yZXYueG1sUEsBAhQAFAAAAAgAh07i&#10;QL4RpJ1eAgAAmwQAAA4AAAAAAAAAAQAgAAAAJA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图4：设计计算过程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  <w:lang w:val="en-US" w:eastAsia="zh-CN"/>
        </w:rPr>
        <w:t>3.2程序设计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3.2.1主控程序设计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主控的系统流程图如图5所示：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center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3163570</wp:posOffset>
                </wp:positionH>
                <wp:positionV relativeFrom="paragraph">
                  <wp:posOffset>4150360</wp:posOffset>
                </wp:positionV>
                <wp:extent cx="2271395" cy="487045"/>
                <wp:effectExtent l="0" t="0" r="1905" b="825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09160" y="5160010"/>
                          <a:ext cx="227139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F4F4F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F4F4F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>图6：openmv程序流程示意图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1pt;margin-top:326.8pt;height:38.35pt;width:178.85pt;z-index:251662336;mso-width-relative:page;mso-height-relative:page;" filled="f" stroked="f" coordsize="21600,21600" o:gfxdata="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u6/yzN0AAAALAQAADwAAAAAA&#10;AAABACAAAAAiAAAAZHJzL2Rvd25yZXYueG1sUEsBAhQAFAAAAAgAh07iQJSzLd5HAgAAcg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i w:val="0"/>
                          <w:iCs w:val="0"/>
                          <w:caps w:val="0"/>
                          <w:color w:val="4F4F4F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i w:val="0"/>
                          <w:iCs w:val="0"/>
                          <w:caps w:val="0"/>
                          <w:color w:val="4F4F4F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>图6：openmv程序流程示意图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164465</wp:posOffset>
                </wp:positionH>
                <wp:positionV relativeFrom="paragraph">
                  <wp:posOffset>4181475</wp:posOffset>
                </wp:positionV>
                <wp:extent cx="1728470" cy="381000"/>
                <wp:effectExtent l="0" t="0" r="1143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97585" y="5127625"/>
                          <a:ext cx="172847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Style w:val="10"/>
                                <w:rFonts w:hint="default" w:ascii="宋体" w:hAnsi="宋体" w:eastAsia="宋体" w:cs="宋体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F4F4F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F4F4F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  <w:t xml:space="preserve">图5：主控程序流程图   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95pt;margin-top:329.25pt;height:30pt;width:136.1pt;z-index:251663360;mso-width-relative:page;mso-height-relative:page;" filled="f" stroked="f" coordsize="21600,21600" o:gfxdata="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jEV5mtoAAAAKAQAADwAAAAAAAAAB&#10;ACAAAAAiAAAAZHJzL2Rvd25yZXYueG1sUEsBAhQAFAAAAAgAh07iQCi7NuFHAgAAcQ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Style w:val="10"/>
                          <w:rFonts w:hint="default" w:ascii="宋体" w:hAnsi="宋体" w:eastAsia="宋体" w:cs="宋体"/>
                          <w:b w:val="0"/>
                          <w:bCs w:val="0"/>
                          <w:i w:val="0"/>
                          <w:iCs w:val="0"/>
                          <w:caps w:val="0"/>
                          <w:color w:val="4F4F4F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i w:val="0"/>
                          <w:iCs w:val="0"/>
                          <w:caps w:val="0"/>
                          <w:color w:val="4F4F4F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 xml:space="preserve">图5：主控程序流程图  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1924050" cy="4509135"/>
            <wp:effectExtent l="0" t="0" r="6350" b="12065"/>
            <wp:docPr id="13" name="图片 13" descr="deepseek_mermaid_20250802_957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epseek_mermaid_20250802_957e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3382010</wp:posOffset>
            </wp:positionH>
            <wp:positionV relativeFrom="paragraph">
              <wp:posOffset>-923290</wp:posOffset>
            </wp:positionV>
            <wp:extent cx="2885440" cy="5498465"/>
            <wp:effectExtent l="0" t="0" r="10160" b="635"/>
            <wp:wrapSquare wrapText="bothSides"/>
            <wp:docPr id="16" name="图片 16" descr="0bc0a80ab8577c3660cce6e07366f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bc0a80ab8577c3660cce6e07366ff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 xml:space="preserve">         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程序初始化时已启用串口通信（115200波特率）。主循环中除原有的AD采样、计算和显示流程外，新增串口数据处理环节：每次循环都会检查串口接收标志位（Serial_GetRxFlag），若检测到数据到达（标志位为1），则通过Serial_GetRxData()获取接收字节。该字节数据会实时显示在LCD屏幕的指定位置（坐标126,200），以两位十六进制数形式呈现。系统持续循环执行AD采样转换（10次平均滤波）、电压电流计算、LCD三行数据显示（AD值/电压值/电流值）以及串口数据监测显示，实现多任务实时监控。串口数据显示与其他参数同步刷新，互不干扰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3.2.2openmv程序设计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如图6为openmv的流程图；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程序启动后首先完成初始化设置，包括摄像头参数配置和串口通信初始化，随后进入主循环持续采集图像。每帧图像处理流程如下：系统首先在画面中搜寻白色边框特征，若检测失败则通过串口输出"NO FRAME"错误提示；成功定位边框后立即计算摄像头与边框的实际距离，并据此设置感兴趣区域(ROI)。当ROI区域校验无效时输出"ROI ERROR"警告，有效区域则进行黑色目标物体识别。若目标检测失败则提示"识别不到"，成功定位后则精确计算物体尺寸数据，通过串口发送包含距离、位置和尺寸的检测结果，同时在原图像上进行边框和目标区域的实时标注，完成单次检测循环后立即返回主循环起始点，持续执行新一轮的图像采集与处理流程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3.2.3软件低功耗措施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降低LCD屏幕的亮度，同时让ROI收缩60%，适当的降低检测频率以及进行分级检测，以上措施虽然会导致检测的响应速度回稍慢，但是依然能满足要求，电流减少约50%，保证原有功能。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Chars="0"/>
        <w:textAlignment w:val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系统测试及结果分析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4.1测试使用的仪器及设备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测试主要的仪器有卷尺、万用表、示波器、以及若干测试样本。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4.2测试方法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运用控制变量的方法，变量有测试样本（距离，大小，偏转角度等）以及外在干扰；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每个测试至少测试5次，去平均值，把误差减小。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4.3测试数据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以下是每项连续测试5次统计得出的数据</w:t>
      </w:r>
    </w:p>
    <w:tbl>
      <w:tblPr>
        <w:tblStyle w:val="8"/>
        <w:tblW w:w="10139" w:type="dxa"/>
        <w:tblInd w:w="-7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8"/>
        <w:gridCol w:w="1345"/>
        <w:gridCol w:w="1345"/>
        <w:gridCol w:w="1345"/>
        <w:gridCol w:w="1345"/>
        <w:gridCol w:w="1345"/>
        <w:gridCol w:w="13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2068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测试样本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距离D是否满足要求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距离D偏离过大次数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D偏离程度平均值/cm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边长x是否满足要求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边长x偏离过大次数</w:t>
            </w:r>
          </w:p>
        </w:tc>
        <w:tc>
          <w:tcPr>
            <w:tcW w:w="1346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边长x程度平均值/cm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2068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基本-正方形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tabs>
                <w:tab w:val="left" w:pos="50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left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是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2.5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是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</w:t>
            </w:r>
          </w:p>
        </w:tc>
        <w:tc>
          <w:tcPr>
            <w:tcW w:w="1346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2068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基本-圆形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是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3.1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是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</w:t>
            </w:r>
          </w:p>
        </w:tc>
        <w:tc>
          <w:tcPr>
            <w:tcW w:w="1346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2068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基本-三角形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是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1.7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是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</w:t>
            </w:r>
          </w:p>
        </w:tc>
        <w:tc>
          <w:tcPr>
            <w:tcW w:w="1346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2068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发挥-旋转正方形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是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1.2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是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</w:t>
            </w:r>
          </w:p>
        </w:tc>
        <w:tc>
          <w:tcPr>
            <w:tcW w:w="1346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2068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发挥-多个正方形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是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1.4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否</w:t>
            </w:r>
          </w:p>
        </w:tc>
        <w:tc>
          <w:tcPr>
            <w:tcW w:w="1345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4</w:t>
            </w:r>
          </w:p>
        </w:tc>
        <w:tc>
          <w:tcPr>
            <w:tcW w:w="1346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atLeast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0.7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center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表1：连续5次测试数据统计表格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4.4测试结果分析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视觉检测系统整体表现稳定，在基础形状（正方形、圆形、三角形）检测中距离精度较高（平均偏离1.7-3.1cm），所有样本距离指标均达标，其中圆形检测稳定性最佳（无偏离过大）。边长检测方面，基础形状精度优异（平均偏离0.2-0.3cm），但面对复杂场景时出现明显波动：旋转正方形边长偏离次数增至2次（平均0.4cm），而多个正方形目标检测存在明显缺陷（4次偏离过大，平均0.7cm），导致边长指标不合格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5.结论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本系统成功地实现了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单目视觉的目标物测量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功能,表现出了较为优秀的性能，在运动稳定性、追踪距离控制准确性以及摄像头数据回传及时性等方面表现出色，基本达到了设计要求。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这几天的比赛，从一开始就在克服困难，解决识别不到红色激光，解决识别不到黑框，解决摄像头无法识别物体以及他的边长的问题，再到最后解决测量距离误差的问题。我们受益匪浅,不断的交流与学习，互相补充短板，学到了很多东西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2249" w:firstLineChars="7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参考文献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毛星云，冷雪飞.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OpenCV3编程入门[M]. 北京：电子工业出版社，2015.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刘火良，杨森.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STM32库开发实战指南：基于STM32F103[M]. 北京：机械工业出版社，2020.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701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6C82C1"/>
    <w:multiLevelType w:val="singleLevel"/>
    <w:tmpl w:val="3C6C82C1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Q4NDY3ZDI1YmM2ZDliMjY5NTk5MTU0M2U0ODdiY2EifQ=="/>
  </w:docVars>
  <w:rsids>
    <w:rsidRoot w:val="00000000"/>
    <w:rsid w:val="0722275F"/>
    <w:rsid w:val="11AF3DD5"/>
    <w:rsid w:val="15F86180"/>
    <w:rsid w:val="1F8D6E49"/>
    <w:rsid w:val="22D0172D"/>
    <w:rsid w:val="26D24024"/>
    <w:rsid w:val="2A095212"/>
    <w:rsid w:val="2D443EBB"/>
    <w:rsid w:val="33632D35"/>
    <w:rsid w:val="36BD75A7"/>
    <w:rsid w:val="3ACE3673"/>
    <w:rsid w:val="3F20359D"/>
    <w:rsid w:val="435D1AE8"/>
    <w:rsid w:val="5283587D"/>
    <w:rsid w:val="53B25B8B"/>
    <w:rsid w:val="57254982"/>
    <w:rsid w:val="5AFA746A"/>
    <w:rsid w:val="712373DA"/>
    <w:rsid w:val="714D3268"/>
    <w:rsid w:val="77A865DC"/>
    <w:rsid w:val="7F5D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3192</Words>
  <Characters>4035</Characters>
  <Lines>0</Lines>
  <Paragraphs>0</Paragraphs>
  <TotalTime>2</TotalTime>
  <ScaleCrop>false</ScaleCrop>
  <LinksUpToDate>false</LinksUpToDate>
  <CharactersWithSpaces>4097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2025-08-01T06:32:00Z</dcterms:created>
  <dc:creator>17276</dc:creator>
  <cp:lastModifiedBy>陆奥</cp:lastModifiedBy>
  <dcterms:modified xsi:type="dcterms:W3CDTF">2025-08-02T10:46:37Z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999AD2EB82B4421390A277C81C5C181D</vt:lpwstr>
  </property>
</Properties>
</file>