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1C4F"/>
          <w:sz w:val="36"/>
          <w:szCs w:val="36"/>
        </w:rPr>
        <w:t xml:space="preserve">Validation Notes</w:t>
      </w:r>
    </w:p>
    <w:p>
      <w:pPr>
        <w:spacing w:after="160" w:before="0"/>
      </w:pPr>
      <w:r>
        <w:rPr>
          <w:rFonts w:ascii="Arial" w:cs="Arial" w:eastAsia="Arial" w:hAnsi="Arial"/>
          <w:color w:val="706F7C"/>
          <w:sz w:val="20"/>
          <w:szCs w:val="20"/>
        </w:rPr>
        <w:t xml:space="preserve">QuickTerminal Quick Start Guide Version 1.3 (Draft). 22 items, all Open. Nothing below is confirmed product behaviour. Each item is marked in the review PDF and Word file with a VN tag next to the statement it relates to. Tags stay until the item is confirmed.</w:t>
      </w:r>
    </w:p>
    <w:p>
      <w:pPr>
        <w:keepNext/>
        <w:spacing w:after="80" w:before="200"/>
      </w:pPr>
      <w:r>
        <w:rPr>
          <w:rFonts w:ascii="Arial" w:cs="Arial" w:eastAsia="Arial" w:hAnsi="Arial"/>
          <w:b/>
          <w:bCs/>
          <w:color w:val="1F1C4F"/>
          <w:sz w:val="18"/>
          <w:szCs w:val="18"/>
        </w:rPr>
        <w:t xml:space="preserve">SUMMARY</w:t>
      </w:r>
    </w:p>
    <w:p>
      <w:pPr>
        <w:spacing w:after="100" w:before="0"/>
      </w:pPr>
      <w:r>
        <w:rPr>
          <w:rFonts w:ascii="Arial" w:cs="Arial" w:eastAsia="Arial" w:hAnsi="Arial"/>
          <w:color w:val="161619"/>
          <w:sz w:val="18"/>
          <w:szCs w:val="18"/>
        </w:rPr>
        <w:t xml:space="preserve">Official Westpac QuickStream documentation describes QuickPortal. It never describes QuickTerminal as a distinct product or lists which QuickPortal functions QuickTerminal offers. Instructions in this guide therefore rest on (a) the supplied screenshots and the supplied v3 guide, and (b) QuickPortal documentation for rules such as refund, void, search and PayTo. Items whose Basis is 'QuickPortal docs only' or 'Assumption' must not be treated as confirmed QuickTerminal functionality.</w:t>
      </w:r>
    </w:p>
    <w:p>
      <w:pPr>
        <w:spacing w:after="100" w:before="0"/>
      </w:pPr>
      <w:r>
        <w:rPr>
          <w:rFonts w:ascii="Arial" w:cs="Arial" w:eastAsia="Arial" w:hAnsi="Arial"/>
          <w:color w:val="161619"/>
          <w:sz w:val="18"/>
          <w:szCs w:val="18"/>
        </w:rPr>
        <w:t xml:space="preserve">High priority: VN1, VN3, VN5, VN7, VN8, VN12, VN15, VN19. Resolve these first. The single most useful capture is V1 (the expanded Transactions and Reports menu) in the Screenshot Capture Checklist.</w:t>
      </w:r>
    </w:p>
    <w:p>
      <w:pPr>
        <w:keepNext/>
        <w:spacing w:after="80" w:before="200"/>
      </w:pPr>
      <w:r>
        <w:rPr>
          <w:rFonts w:ascii="Arial" w:cs="Arial" w:eastAsia="Arial" w:hAnsi="Arial"/>
          <w:b/>
          <w:bCs/>
          <w:color w:val="1F1C4F"/>
          <w:sz w:val="18"/>
          <w:szCs w:val="18"/>
        </w:rPr>
        <w:t xml:space="preserve">SOURCES REVIEWED</w:t>
      </w:r>
    </w:p>
    <w:p>
      <w:pPr>
        <w:pStyle w:val="ListParagraph"/>
        <w:numPr>
          <w:ilvl w:val="0"/>
          <w:numId w:val="1"/>
        </w:numPr>
        <w:spacing w:after="100" w:before="0"/>
      </w:pPr>
      <w:hyperlink w:history="1" r:id="rIdrfwpcexxw4tihaamqbp8v">
        <w:r>
          <w:rPr>
            <w:rFonts w:ascii="Arial" w:cs="Arial" w:eastAsia="Arial" w:hAnsi="Arial"/>
            <w:color w:val="0074C4"/>
            <w:sz w:val="17"/>
            <w:szCs w:val="17"/>
            <w:u w:val="single"/>
          </w:rPr>
          <w:t xml:space="preserve">https://quickstream.westpac.com.au/docs/quickportal/</w:t>
        </w:r>
      </w:hyperlink>
    </w:p>
    <w:p>
      <w:pPr>
        <w:pStyle w:val="ListParagraph"/>
        <w:numPr>
          <w:ilvl w:val="0"/>
          <w:numId w:val="1"/>
        </w:numPr>
        <w:spacing w:after="100" w:before="0"/>
      </w:pPr>
      <w:hyperlink w:history="1" r:id="rIdbs-_x6zvso_ccyfakc2wj">
        <w:r>
          <w:rPr>
            <w:rFonts w:ascii="Arial" w:cs="Arial" w:eastAsia="Arial" w:hAnsi="Arial"/>
            <w:color w:val="0074C4"/>
            <w:sz w:val="17"/>
            <w:szCs w:val="17"/>
            <w:u w:val="single"/>
          </w:rPr>
          <w:t xml:space="preserve">https://quickstream.westpac.com.au/docs/payto/</w:t>
        </w:r>
      </w:hyperlink>
    </w:p>
    <w:p>
      <w:pPr>
        <w:pStyle w:val="ListParagraph"/>
        <w:numPr>
          <w:ilvl w:val="0"/>
          <w:numId w:val="1"/>
        </w:numPr>
        <w:spacing w:after="100" w:before="0"/>
      </w:pPr>
      <w:hyperlink w:history="1" r:id="rIdy7f5dvkhljc3wz2-ereqk">
        <w:r>
          <w:rPr>
            <w:rFonts w:ascii="Arial" w:cs="Arial" w:eastAsia="Arial" w:hAnsi="Arial"/>
            <w:color w:val="0074C4"/>
            <w:sz w:val="17"/>
            <w:szCs w:val="17"/>
            <w:u w:val="single"/>
          </w:rPr>
          <w:t xml:space="preserve">https://quickstream.westpac.com.au/docs/general/transaction-settlement/</w:t>
        </w:r>
      </w:hyperlink>
    </w:p>
    <w:p>
      <w:pPr>
        <w:pStyle w:val="ListParagraph"/>
        <w:numPr>
          <w:ilvl w:val="0"/>
          <w:numId w:val="1"/>
        </w:numPr>
        <w:spacing w:after="100" w:before="0"/>
      </w:pPr>
      <w:r>
        <w:rPr>
          <w:rFonts w:ascii="Arial" w:cs="Arial" w:eastAsia="Arial" w:hAnsi="Arial"/>
          <w:color w:val="161619"/>
          <w:sz w:val="18"/>
          <w:szCs w:val="18"/>
        </w:rPr>
        <w:t xml:space="preserve">Public search results for QuickTerminal, refund and void on quickstream.westpac.com.au, plus the supplied v3 guide, QuickTerminal Word guides and screenshots.</w:t>
      </w:r>
    </w:p>
    <w:p>
      <w:pPr>
        <w:pStyle w:val="ListParagraph"/>
        <w:numPr>
          <w:ilvl w:val="0"/>
          <w:numId w:val="1"/>
        </w:numPr>
        <w:spacing w:after="100" w:before="0"/>
      </w:pPr>
      <w:r>
        <w:rPr>
          <w:rFonts w:ascii="Arial" w:cs="Arial" w:eastAsia="Arial" w:hAnsi="Arial"/>
          <w:color w:val="161619"/>
          <w:sz w:val="18"/>
          <w:szCs w:val="18"/>
        </w:rPr>
        <w:t xml:space="preserve">Only the first part of the long QuickPortal page was read in full (about 100,000 of 120,000 characters); later sections (payment plans, allocation, FAQ) were not needed. Some refund and void detail came from search result excerpts of that documentation.</w:t>
      </w:r>
    </w:p>
    <w:p>
      <w:pPr>
        <w:keepNext/>
        <w:spacing w:after="80" w:before="200"/>
      </w:pPr>
      <w:r>
        <w:rPr>
          <w:rFonts w:ascii="Arial" w:cs="Arial" w:eastAsia="Arial" w:hAnsi="Arial"/>
          <w:b/>
          <w:bCs/>
          <w:color w:val="1F1C4F"/>
          <w:sz w:val="18"/>
          <w:szCs w:val="18"/>
        </w:rPr>
        <w:t xml:space="preserve">ITEMS TO CONFIRM (HIGH, THEN MEDIUM, THEN LOW)</w:t>
      </w:r>
    </w:p>
    <w:tbl>
      <w:tblPr>
        <w:tblW w:type="dxa" w:w="15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
        <w:gridCol w:w="800"/>
        <w:gridCol w:w="1750"/>
        <w:gridCol w:w="1350"/>
        <w:gridCol w:w="3000"/>
        <w:gridCol w:w="4000"/>
        <w:gridCol w:w="2300"/>
        <w:gridCol w:w="900"/>
        <w:gridCol w:w="620"/>
      </w:tblGrid>
      <w:tr>
        <w:trPr>
          <w:cantSplit/>
          <w:tblHeader/>
        </w:trPr>
        <w:tc>
          <w:tcPr>
            <w:tcW w:type="dxa" w:w="68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ID</w:t>
            </w:r>
          </w:p>
        </w:tc>
        <w:tc>
          <w:tcPr>
            <w:tcW w:type="dxa" w:w="8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Priority</w:t>
            </w:r>
          </w:p>
        </w:tc>
        <w:tc>
          <w:tcPr>
            <w:tcW w:type="dxa" w:w="175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Area and guide page</w:t>
            </w:r>
          </w:p>
        </w:tc>
        <w:tc>
          <w:tcPr>
            <w:tcW w:type="dxa" w:w="135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Basis</w:t>
            </w:r>
          </w:p>
        </w:tc>
        <w:tc>
          <w:tcPr>
            <w:tcW w:type="dxa" w:w="30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Statement in the guide</w:t>
            </w:r>
          </w:p>
        </w:tc>
        <w:tc>
          <w:tcPr>
            <w:tcW w:type="dxa" w:w="40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What the evidence shows</w:t>
            </w:r>
          </w:p>
        </w:tc>
        <w:tc>
          <w:tcPr>
            <w:tcW w:type="dxa" w:w="23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Confirmation needed</w:t>
            </w:r>
          </w:p>
        </w:tc>
        <w:tc>
          <w:tcPr>
            <w:tcW w:type="dxa" w:w="90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Marked on page</w:t>
            </w:r>
          </w:p>
        </w:tc>
        <w:tc>
          <w:tcPr>
            <w:tcW w:type="dxa" w:w="620"/>
            <w:tcBorders>
              <w:top w:val="single" w:color="DEDEE1" w:sz="4"/>
              <w:left w:val="single" w:color="DEDEE1" w:sz="4"/>
              <w:bottom w:val="single" w:color="DEDEE1" w:sz="4"/>
              <w:right w:val="single" w:color="DEDEE1" w:sz="4"/>
            </w:tcBorders>
            <w:shd w:fill="1F1C4F" w:color="auto" w:val="clear"/>
            <w:tcMar>
              <w:top w:type="dxa" w:w="60"/>
              <w:left w:type="dxa" w:w="90"/>
              <w:bottom w:type="dxa" w:w="60"/>
              <w:right w:type="dxa" w:w="90"/>
            </w:tcMar>
          </w:tcPr>
          <w:p>
            <w:pPr>
              <w:spacing w:after="40" w:before="0"/>
            </w:pPr>
            <w:r>
              <w:rPr>
                <w:rFonts w:ascii="Arial" w:cs="Arial" w:eastAsia="Arial" w:hAnsi="Arial"/>
                <w:b/>
                <w:bCs/>
                <w:color w:val="FFFFFF"/>
                <w:sz w:val="16"/>
                <w:szCs w:val="16"/>
              </w:rPr>
              <w:t xml:space="preserve">Status</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High</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Whole guide — p. All</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Assumption</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screens and menus in this guide are the QuickTerminal user experience.</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official docs describe QuickPortal only. They never describe QuickTerminal as a product or say how it differs from QuickPortal. QuickTerminal appears only as a module name, a 'Transaction Source' value and a note on server-to-server notifications. Every supplied screenshot shows the QuickStream portal header, and the Transaction Details screenshot shows 'Transaction Source: QuickTerminal'.</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Product owner to confirm that a QuickTerminal user, provisioned for the payment types and permissions intended for the guide's audience, sees these same screens and the Transactions and Reports menu, and which QuickPortal functions are NOT available in QuickTerminal. The QuickStream header branding alone does not identify a screen as QuickTerminal. Until confirmed, treat everything marked 'QuickPortal docs only' below as unconfirmed for QuickTerminal.</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1</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VN3</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High</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Make a PayTo payment — p. 7</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Assumption</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PayTo is reached via Transactions and Reports &gt; Make a Payment &gt; PayTo.</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docs list 'Make a PayTo payment' under Transactions and reports but give no menu path or button label. The path shown follows the pattern of the credit card and bank account paths and is an assumption.</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menu path and label, and that PayTo is available to QuickTerminal users.</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VN5</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High</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Make a PayTo payment — p. 8</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docs only</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Confirming creates a one-time PayTo agreement that the customer approves in their banking app; the payment shows as pending until then, is attempted after approval, and the result is shown. Agreement approval, payment status and settlement are separate.</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Docs describe a one-time PayTo Agreement sent to the customer, a pending payment on Transaction Details, and the payment being attempted after approval. The docs do not give the PayTo payment status labels, the approval time limit, what the user sees if the customer declines or does not respond, or whether the page refreshes itself. The guide gives no settlement time. Whether PayTo settlement appears in settlement reports is tracked separately in VN22.</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status labels (pending, approved, declined, expired), the approval time limit, what happens on decline or no response, and The guide deliberately does not say that approval guarantees final settlement.</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VN7</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High</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Refund or void — p. 11-12</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docs only</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Void and Refund are chosen from the transaction row or Transaction Details and then confirmed.</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Docs give the entry points (receipt number or the ... menu) and the purpose of each action, but no numbered steps, confirmation wording, button labels or whether a refund amount can be entered. The partial-refund rule appears only in REST API documentation, not in the Portal guide. The 'Void this transaction' button label is confirmed by the Transaction Details screenshot; the Refund label is not. The guide therefore says only 'follow the on-screen steps to confirm'.</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Capture the real refund and void flows (S07, S08), confirm menu and button labels, whether a confirmation step exists, and whether a partial refund amount can be entered. Then rewrite steps 02-03.</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VN8</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High</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Refund or void — p. 11-12</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docs only</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 refund is recorded as a separate transaction with a negative amount; a successful refund request does not mean the funds are immediately available to the customer; a void changes the original transaction.</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Docs state that refunds appear as negative values in search results. They do not list the status wording after a refund or void (they name 'Voided' only for cancelled suspected-fraud payments), and do not say when a refund completes. Public search results mention a CANCELLED status for bank account voids in the REST API documentation, which is not Portal documentation. The cautionary wording about funds not being immediately available is deliberately conservative: the docs give no refund timing and no status wording, so the guide does not refer to a completed status.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status wording after a refund and after a void for card, bank account and PayTo, how long a refund takes to reach the customer, and whether the original transaction changes when a refund is made.</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VN12</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High</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Make a bank account payment — p. 6</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docs only</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Approval is only the first step; the customer's bank can still return a bank account payment after it has been approved; users should follow their organisation's reconciliation procedures to identify and handle bank returns.</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Docs (transaction settlement): a direct entry return can occur up to 5 banking days after processing, for reasons such as a closed account, insufficient funds or the customer instructing their bank to stop debits. The Transaction Details screenshot shows a different period ('May be declined by your bank within 4 banking days'). The guide text gives no return period, no reasons and no suggestion that a single later status check establishes finality. The reference to the organisation's own reconciliation procedures is general guidance, not documented product behaviour. The page 6 screenshot still shows the on-screen wording, so a period IS visible there (see VN19).</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correct return period and wording, and that pointing users to their own reconciliation procedures is acceptable. Do not publish a period until confirmed.</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VN15</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High</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Export transactions — p. 13</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v3 guide</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Path: Transactions and Reports &gt; Find Transactions &gt; Export Transaction Reports.</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From the v3 guide. The official docs give 'Transactions and Reports -&gt; Export Transactions' and the supplied screenshot is titled 'Export Transactions'. The two paths conflict and the guide uses the v3 path.</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path and menu label against the live QuickTerminal interface (screenshot V1) and correct the guide. Do not treat the current path as confirmed.</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VN19</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High</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Make a bank account payment — p. 6</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Screenshot</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(Marked at the top right of the page 6 Transaction Details screenshot.) The screenshot is suitable to publish.</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screenshot shows the Response 'May be declined by your bank within 4 banking days (New)'. That is an unconfirmed return period (see VN12) and it is visible in the guide. It is real interface text, so it has not been altered.</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Either confirm the 4 banking day wording is correct, or re-capture the screen with a different example, or agree an approved way to mask the period.</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6</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Medium</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Make a payment, Find, Refund — p. 3, 5, 9, 11</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v3 guide</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Menu paths: Transactions and Reports &gt; Make a Payment &gt; Credit Card / Bank Account; Transactions and Reports &gt; Find Transactions &gt; Recent Transactions / Find or Refund a Transaction.</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Taken from the supplied v3 guide. The official docs list these functions under the 'Transactions and reports' tab but do not show a 'Make a Payment' or 'Find Transactions' submenu label.</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exact menu labels and nesting on a live QuickTerminal user. Screenshot V1 (menu expanded) will settle this and VN3, VN14 and VN15 together.</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VN4</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Medium</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Make a PayTo payment — p. 7</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docs only</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PayTo field names (Payer Name, Payer Type, Payer ID, Payer Reference, Payment Method, Business, Payee Reference, Payment Amount, End to End ID, Remittance Information, Purpose, Description).</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Docs 'Make a PayTo payment' lists these fields for QuickPortal. The docs do not say which are mandatory, and describe 'Payer ID' only as a CRN. No PayTo screenshot is available.</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exact labels against the live screen, which fields are required, and the Payer Type options. Update step wording once screenshots S02 and S03 are supplied.</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VN6</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Medium</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Make a PayTo payment / Refund — p. 11</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docs only</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PayTo payments can be refunded after the payment is approved; void may be available.</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Docs (transaction settlement): 'PayTo transactions can be refunded after it has reached an Approved transaction status.' The Portal guide lists 'void the payment' among the actions after a PayTo payment but gives no conditions. The guide lists refund for PayTo only.</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whether void is offered for PayTo and under what conditions.</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VN9</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Medium</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Refund or void — p. 11</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docs only</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 void cancels an eligible transaction before it is included in settlement; void is available before the cut-off time and refund after it; bank account refunds 4 banking days after the original payment date.</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Docs describe a void as stopping the transaction from being included in settlement, and give the timing rules, but not the cut-off times in the Portal guide, and do not define 'eligible' beyond those rules. The guide no longer says no money is exchanged. The settlement page gives card cut-offs of 6pm AEST for Westpac settlement accounts (different for other accounts) and 4pm AEST on banking days for bank account payments. The guide intentionally states no times.</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whether to publish cut-off times, and that the 4 banking day refund rule applies to QuickTerminal users.</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VN10</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Medium</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Several — p. 7, 10, 11</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Assumption</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Refund, void and PayTo availability depends on enabled features and user permissions.</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Docs say roles are assigned by an administrator but do not list which role allows refund, void or PayTo. Public search snippets mention a 'Refund' user role, which is not verified here.</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role or permission names and which options are feature-dependent, then name them in the guide if appropriate.</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VN14</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Medium</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Settlement and facility reports — p. 14-16</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v3 guide</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Menu paths: Transactions and Reports &gt; Reports &gt; Daily Settlement / Weekly Settlement / Facility Reports.</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From the v3 guide. The docs list Daily, Weekly and Monthly settlement and Facility reports under Transactions and reports with no 'Reports' submenu label.</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labels (screenshot V1).</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VN18</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Medium</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Make a PayTo payment — p. 7</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docs only</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Terminology: 'PayTo payment' is the payment; 'PayTo agreement' is the one-time agreement the customer approves; 'customer' is used for the person paying. Field labels such as Payer Name are kept as written in the docs.</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Docs use 'PayTo Agreement', 'Payer' and 'customer' interchangeably. The live labels are not known.</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the terms shown on the live screens and adjust the guide wording to match them.</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VN22</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Medium</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Make a PayTo payment — p. 8</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Assumption</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Your settlement reports may show the PayTo payment once it settles.</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Docs (transaction settlement) say each PayTo transaction is credited the same day, including weekends. Nothing found says that PayTo payments appear in the Daily or Weekly Settlement reports, or that those reports are available to QuickTerminal users. The guide words this as 'may show' and treats it as unconfirmed.</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whether PayTo payments appear in the settlement reports and how to identify them. If not, remove the sentence from the page 8 tip.</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VN11</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Low</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Find transactions — p. 9</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docs only</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Search types are Settlement Date, Reference Number and Account Details; Show Advanced Search narrows by business, status, transaction source, order type, payment method or amount.</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supplied screenshot shows the tabs Settlement Date, Reference Number, Account Details, IP Address and Chargeback, and the advanced fields. What each search accepts (customer reference, payment reference, receipt number, full or partial card number, BSB and account number) comes from the QuickPortal docs only. The guide does not describe IP Address or Chargeback search.</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what each search accepts in QuickTerminal, what IP Address and Chargeback search do, and whether to add them.</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VN13</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Low</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Find transactions — p. 10</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docs only</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Results columns and the hover text on Status.</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Docs 'Find or refund a transaction'. No search results screenshot is available to confirm the column names or layout.</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Check against screenshot S06.</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VN16</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Low</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Existing screenshots — p. 4, 6, 10, 15</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Screenshot</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(Marked at the top right of the affected screenshots.) Existing screenshots are accurate for QuickTerminal.</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Transaction Details screenshots (credit card, bank account) and the Weekly Settlement screenshot were captured scrolled, so the page title sits partly under the navigation bar. All screenshots show the QuickStream portal header. Customer-specific values were replaced with test data; transaction times and settlement dates on screen are original.</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Optionally replace these three screenshots (checklist R1-R3) and confirm the QuickStream header is acceptable for QuickTerminal users.</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4, 6, 10, 15</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VN17</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Low</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Scope — p. -</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Assumption</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Out of scope items were excluded as instructed.</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 recurring payments, payment schedules, QuickBills, QuickBatch, user administration, customer or account management, PayTo agreement administration or recurring PayTo payments are included. Page 2 now describes PayTo as one-off payments only. Other QuickPortal functions found in the docs (Review suspended transactions, Retry failed transactions, Open pre-auths, Make a payment for an existing customer, Bank statements) were not added because QuickTerminal availability could not be established.</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Decide whether any of these belong in a future edition.</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VN20</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Low</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Monthly settlement — p. -</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QuickPortal docs only</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A Monthly settlement section is NOT included.</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The QuickPortal docs list Monthly settlement alongside Daily and Weekly settlement. There is no QuickTerminal evidence, screenshot or v3 guide content for it. A section is probably warranted for consistency with Daily and Weekly if it exists, and would be one page using the same template.</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whether Monthly Settlement is available to QuickTerminal users. If yes: supply a screenshot (checklist C1) and the menu path, and a page will be added after Weekly settlements. If no: no change.</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none (scope or omission)</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r>
        <w:trPr>
          <w:cantSplit/>
        </w:trPr>
        <w:tc>
          <w:tcPr>
            <w:tcW w:type="dxa" w:w="680"/>
            <w:tcBorders>
              <w:top w:val="single" w:color="DEDEE1" w:sz="4"/>
              <w:left w:val="single" w:color="DEDEE1" w:sz="4"/>
              <w:bottom w:val="single" w:color="DEDEE1" w:sz="4"/>
              <w:right w:val="single" w:color="DEDEE1" w:sz="4"/>
            </w:tcBorders>
            <w:shd w:fill="F5F5F6" w:color="auto" w:val="clear"/>
            <w:tcMar>
              <w:top w:type="dxa" w:w="60"/>
              <w:left w:type="dxa" w:w="90"/>
              <w:bottom w:type="dxa" w:w="60"/>
              <w:right w:type="dxa" w:w="90"/>
            </w:tcMar>
          </w:tcPr>
          <w:p>
            <w:pPr>
              <w:spacing w:after="40" w:before="0"/>
            </w:pPr>
            <w:r>
              <w:rPr>
                <w:rFonts w:ascii="Arial" w:cs="Arial" w:eastAsia="Arial" w:hAnsi="Arial"/>
                <w:b/>
                <w:bCs/>
                <w:color w:val="161619"/>
                <w:sz w:val="16"/>
                <w:szCs w:val="16"/>
              </w:rPr>
              <w:t xml:space="preserve">VN21</w:t>
            </w:r>
          </w:p>
        </w:tc>
        <w:tc>
          <w:tcPr>
            <w:tcW w:type="dxa" w:w="8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Low</w:t>
            </w:r>
          </w:p>
        </w:tc>
        <w:tc>
          <w:tcPr>
            <w:tcW w:type="dxa" w:w="17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Existing screenshots — p. 3, 4, 6, 9, 10, 13-16</w:t>
            </w:r>
          </w:p>
        </w:tc>
        <w:tc>
          <w:tcPr>
            <w:tcW w:type="dxa" w:w="135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Screenshot</w:t>
            </w:r>
          </w:p>
        </w:tc>
        <w:tc>
          <w:tcPr>
            <w:tcW w:type="dxa" w:w="3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(Marked at the top right of each screenshot.) Screenshots have been cropped to remove the empty grey area to the left of the page content so the screen can be shown larger.</w:t>
            </w:r>
          </w:p>
        </w:tc>
        <w:tc>
          <w:tcPr>
            <w:tcW w:type="dxa" w:w="40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Each screenshot keeps its header exactly as captured. Below the header, the empty left margin (285 pixels) is removed, so page content sits closer to the left edge than on the live screen. No pixels are redrawn. The original sanitised images are kept in source/images_src.</w:t>
            </w:r>
          </w:p>
        </w:tc>
        <w:tc>
          <w:tcPr>
            <w:tcW w:type="dxa" w:w="23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Confirm this crop is acceptable for the finished guide.</w:t>
            </w:r>
          </w:p>
        </w:tc>
        <w:tc>
          <w:tcPr>
            <w:tcW w:type="dxa" w:w="90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3, 4, 6, 9, 10, 13, 14, 15, 16</w:t>
            </w:r>
          </w:p>
        </w:tc>
        <w:tc>
          <w:tcPr>
            <w:tcW w:type="dxa" w:w="620"/>
            <w:tcBorders>
              <w:top w:val="single" w:color="DEDEE1" w:sz="4"/>
              <w:left w:val="single" w:color="DEDEE1" w:sz="4"/>
              <w:bottom w:val="single" w:color="DEDEE1" w:sz="4"/>
              <w:right w:val="single" w:color="DEDEE1" w:sz="4"/>
            </w:tcBorders>
            <w:tcMar>
              <w:top w:type="dxa" w:w="60"/>
              <w:left w:type="dxa" w:w="90"/>
              <w:bottom w:type="dxa" w:w="60"/>
              <w:right w:type="dxa" w:w="90"/>
            </w:tcMar>
          </w:tcPr>
          <w:p>
            <w:pPr>
              <w:spacing w:after="40" w:before="0"/>
            </w:pPr>
            <w:r>
              <w:rPr>
                <w:rFonts w:ascii="Arial" w:cs="Arial" w:eastAsia="Arial" w:hAnsi="Arial"/>
                <w:b w:val="false"/>
                <w:bCs w:val="false"/>
                <w:color w:val="161619"/>
                <w:sz w:val="16"/>
                <w:szCs w:val="16"/>
              </w:rPr>
              <w:t xml:space="preserve">Open</w:t>
            </w:r>
          </w:p>
        </w:tc>
      </w:tr>
    </w:tbl>
    <w:p>
      <w:pPr>
        <w:keepNext/>
        <w:spacing w:after="80" w:before="200"/>
      </w:pPr>
      <w:r>
        <w:rPr>
          <w:rFonts w:ascii="Arial" w:cs="Arial" w:eastAsia="Arial" w:hAnsi="Arial"/>
          <w:b/>
          <w:bCs/>
          <w:color w:val="1F1C4F"/>
          <w:sz w:val="18"/>
          <w:szCs w:val="18"/>
        </w:rPr>
        <w:t xml:space="preserve">DELIBERATELY EXCLUDED</w:t>
      </w:r>
    </w:p>
    <w:p>
      <w:pPr>
        <w:pStyle w:val="ListParagraph"/>
        <w:numPr>
          <w:ilvl w:val="0"/>
          <w:numId w:val="1"/>
        </w:numPr>
        <w:spacing w:after="100" w:before="0"/>
      </w:pPr>
      <w:r>
        <w:rPr>
          <w:rFonts w:ascii="Arial" w:cs="Arial" w:eastAsia="Arial" w:hAnsi="Arial"/>
          <w:color w:val="161619"/>
          <w:sz w:val="18"/>
          <w:szCs w:val="18"/>
        </w:rPr>
        <w:t xml:space="preserve">Recurring payments, payment schedules, QuickBills, QuickBatch, user administration, general customer and account management, PayTo agreement administration and recurring PayTo payments.</w:t>
      </w:r>
    </w:p>
    <w:p>
      <w:pPr>
        <w:keepNext/>
        <w:spacing w:after="80" w:before="200"/>
      </w:pPr>
      <w:r>
        <w:rPr>
          <w:rFonts w:ascii="Arial" w:cs="Arial" w:eastAsia="Arial" w:hAnsi="Arial"/>
          <w:b/>
          <w:bCs/>
          <w:color w:val="1F1C4F"/>
          <w:sz w:val="18"/>
          <w:szCs w:val="18"/>
        </w:rPr>
        <w:t xml:space="preserve">CHANGES IN THIS VERSION (1.2 TO 1.3)</w:t>
      </w:r>
    </w:p>
    <w:p>
      <w:pPr>
        <w:pStyle w:val="ListParagraph"/>
        <w:numPr>
          <w:ilvl w:val="0"/>
          <w:numId w:val="1"/>
        </w:numPr>
        <w:spacing w:after="100" w:before="0"/>
      </w:pPr>
      <w:r>
        <w:rPr>
          <w:rFonts w:ascii="Arial" w:cs="Arial" w:eastAsia="Arial" w:hAnsi="Arial"/>
          <w:color w:val="161619"/>
          <w:sz w:val="18"/>
          <w:szCs w:val="18"/>
        </w:rPr>
        <w:t xml:space="preserve">Page 11: void now reads 'Cancels an eligible transaction before it is included in settlement' (the claim that no money is exchanged was removed) (VN9).</w:t>
      </w:r>
    </w:p>
    <w:p>
      <w:pPr>
        <w:pStyle w:val="ListParagraph"/>
        <w:numPr>
          <w:ilvl w:val="0"/>
          <w:numId w:val="1"/>
        </w:numPr>
        <w:spacing w:after="100" w:before="0"/>
      </w:pPr>
      <w:r>
        <w:rPr>
          <w:rFonts w:ascii="Arial" w:cs="Arial" w:eastAsia="Arial" w:hAnsi="Arial"/>
          <w:color w:val="161619"/>
          <w:sz w:val="18"/>
          <w:szCs w:val="18"/>
        </w:rPr>
        <w:t xml:space="preserve">Page 12: removed the reference to a refund transaction showing a 'completed status'. The guide now says a successful refund request does not mean the funds are immediately available to the customer (VN8).</w:t>
      </w:r>
    </w:p>
    <w:p>
      <w:pPr>
        <w:pStyle w:val="ListParagraph"/>
        <w:numPr>
          <w:ilvl w:val="0"/>
          <w:numId w:val="1"/>
        </w:numPr>
        <w:spacing w:after="100" w:before="0"/>
      </w:pPr>
      <w:r>
        <w:rPr>
          <w:rFonts w:ascii="Arial" w:cs="Arial" w:eastAsia="Arial" w:hAnsi="Arial"/>
          <w:color w:val="161619"/>
          <w:sz w:val="18"/>
          <w:szCs w:val="18"/>
        </w:rPr>
        <w:t xml:space="preserve">Page 6: the direct debit warning no longer suggests that one later status check settles the matter. It refers to possible bank returns and to the organisation's own reconciliation procedures (VN12).</w:t>
      </w:r>
    </w:p>
    <w:p>
      <w:pPr>
        <w:pStyle w:val="ListParagraph"/>
        <w:numPr>
          <w:ilvl w:val="0"/>
          <w:numId w:val="1"/>
        </w:numPr>
        <w:spacing w:after="100" w:before="0"/>
      </w:pPr>
      <w:r>
        <w:rPr>
          <w:rFonts w:ascii="Arial" w:cs="Arial" w:eastAsia="Arial" w:hAnsi="Arial"/>
          <w:color w:val="161619"/>
          <w:sz w:val="18"/>
          <w:szCs w:val="18"/>
        </w:rPr>
        <w:t xml:space="preserve">Page 8: PayTo settlement reporting is kept but worded 'may show' and marked as its own unconfirmed item (new VN22), not as part of the verified PayTo workflow.</w:t>
      </w:r>
    </w:p>
    <w:p>
      <w:pPr>
        <w:pStyle w:val="ListParagraph"/>
        <w:numPr>
          <w:ilvl w:val="0"/>
          <w:numId w:val="1"/>
        </w:numPr>
        <w:spacing w:after="100" w:before="0"/>
      </w:pPr>
      <w:r>
        <w:rPr>
          <w:rFonts w:ascii="Arial" w:cs="Arial" w:eastAsia="Arial" w:hAnsi="Arial"/>
          <w:color w:val="161619"/>
          <w:sz w:val="18"/>
          <w:szCs w:val="18"/>
        </w:rPr>
        <w:t xml:space="preserve">Markers audited. VN21, VN19 and VN16 relate to screenshots, so they now sit at the top right of the screenshots they concern instead of on instruction text. VN9 was removed from the contact-support tip. VN4 and VN11 were added to lines that use QuickPortal-only field and search wording. A 'Marked on page' column in the table below lists where each marker appears.</w:t>
      </w:r>
    </w:p>
    <w:p>
      <w:pPr>
        <w:pStyle w:val="ListParagraph"/>
        <w:numPr>
          <w:ilvl w:val="0"/>
          <w:numId w:val="1"/>
        </w:numPr>
        <w:spacing w:after="100" w:before="0"/>
      </w:pPr>
      <w:r>
        <w:rPr>
          <w:rFonts w:ascii="Arial" w:cs="Arial" w:eastAsia="Arial" w:hAnsi="Arial"/>
          <w:color w:val="161619"/>
          <w:sz w:val="18"/>
          <w:szCs w:val="18"/>
        </w:rPr>
        <w:t xml:space="preserve">PayTo wording and spacing re-checked: 'PayTo payment', 'PayTo agreement' and 'customer' are used consistently, and the stage headings on pages 7-8 now sit clearly closer to their own content than to the previous block.</w:t>
      </w:r>
    </w:p>
    <w:p>
      <w:pPr>
        <w:pStyle w:val="ListParagraph"/>
        <w:numPr>
          <w:ilvl w:val="0"/>
          <w:numId w:val="1"/>
        </w:numPr>
        <w:spacing w:after="100" w:before="0"/>
      </w:pPr>
      <w:r>
        <w:rPr>
          <w:rFonts w:ascii="Arial" w:cs="Arial" w:eastAsia="Arial" w:hAnsi="Arial"/>
          <w:color w:val="161619"/>
          <w:sz w:val="18"/>
          <w:szCs w:val="18"/>
        </w:rPr>
        <w:t xml:space="preserve">Capture rules now require a QuickTerminal test user provisioned for the intended payment types and permissions, rather than relying on the QuickStream branding. V1 must be captured with the permissions and configuration intended for the guide's audience (VN1, VN10).</w:t>
      </w:r>
    </w:p>
    <w:p>
      <w:pPr>
        <w:pStyle w:val="ListParagraph"/>
        <w:numPr>
          <w:ilvl w:val="0"/>
          <w:numId w:val="1"/>
        </w:numPr>
        <w:spacing w:after="100" w:before="0"/>
      </w:pPr>
      <w:r>
        <w:rPr>
          <w:rFonts w:ascii="Arial" w:cs="Arial" w:eastAsia="Arial" w:hAnsi="Arial"/>
          <w:color w:val="161619"/>
          <w:sz w:val="18"/>
          <w:szCs w:val="18"/>
        </w:rPr>
        <w:t xml:space="preserve">Screenshots shown at 640 pixels wide (was 600) for legibility; placeholder text shortened to one line. No new screenshot requirements were added.</w:t>
      </w:r>
    </w:p>
    <w:p>
      <w:pPr>
        <w:keepNext/>
        <w:spacing w:after="80" w:before="200"/>
      </w:pPr>
      <w:r>
        <w:rPr>
          <w:rFonts w:ascii="Arial" w:cs="Arial" w:eastAsia="Arial" w:hAnsi="Arial"/>
          <w:b/>
          <w:bCs/>
          <w:color w:val="1F1C4F"/>
          <w:sz w:val="18"/>
          <w:szCs w:val="18"/>
        </w:rPr>
        <w:t xml:space="preserve">EARLIER CHANGES (1.1 TO 1.2)</w:t>
      </w:r>
    </w:p>
    <w:p>
      <w:pPr>
        <w:pStyle w:val="ListParagraph"/>
        <w:numPr>
          <w:ilvl w:val="0"/>
          <w:numId w:val="1"/>
        </w:numPr>
        <w:spacing w:after="100" w:before="0"/>
      </w:pPr>
      <w:r>
        <w:rPr>
          <w:rFonts w:ascii="Arial" w:cs="Arial" w:eastAsia="Arial" w:hAnsi="Arial"/>
          <w:color w:val="161619"/>
          <w:sz w:val="18"/>
          <w:szCs w:val="18"/>
        </w:rPr>
        <w:t xml:space="preserve">Page 2: PayTo overview now describes one-off PayTo payments only (was: create and manage agreements and payments).</w:t>
      </w:r>
    </w:p>
    <w:p>
      <w:pPr>
        <w:pStyle w:val="ListParagraph"/>
        <w:numPr>
          <w:ilvl w:val="0"/>
          <w:numId w:val="1"/>
        </w:numPr>
        <w:spacing w:after="100" w:before="0"/>
      </w:pPr>
      <w:r>
        <w:rPr>
          <w:rFonts w:ascii="Arial" w:cs="Arial" w:eastAsia="Arial" w:hAnsi="Arial"/>
          <w:color w:val="161619"/>
          <w:sz w:val="18"/>
          <w:szCs w:val="18"/>
        </w:rPr>
        <w:t xml:space="preserve">PayTo (pages 7-8): describes a one-time PayTo agreement that the customer approves before the payment is attempted; agreement approval, payment status and settlement are kept separate; terminology standardised (VN18).</w:t>
      </w:r>
    </w:p>
    <w:p>
      <w:pPr>
        <w:pStyle w:val="ListParagraph"/>
        <w:numPr>
          <w:ilvl w:val="0"/>
          <w:numId w:val="1"/>
        </w:numPr>
        <w:spacing w:after="100" w:before="0"/>
      </w:pPr>
      <w:r>
        <w:rPr>
          <w:rFonts w:ascii="Arial" w:cs="Arial" w:eastAsia="Arial" w:hAnsi="Arial"/>
          <w:color w:val="161619"/>
          <w:sz w:val="18"/>
          <w:szCs w:val="18"/>
        </w:rPr>
        <w:t xml:space="preserve">Refund or void (pages 11-12): void and refund are clearly distinguished; refund no longer implies money has been returned; menu, confirm and label steps stay marked as unverified (VN7, VN8).</w:t>
      </w:r>
    </w:p>
    <w:p>
      <w:pPr>
        <w:pStyle w:val="ListParagraph"/>
        <w:numPr>
          <w:ilvl w:val="0"/>
          <w:numId w:val="1"/>
        </w:numPr>
        <w:spacing w:after="100" w:before="0"/>
      </w:pPr>
      <w:r>
        <w:rPr>
          <w:rFonts w:ascii="Arial" w:cs="Arial" w:eastAsia="Arial" w:hAnsi="Arial"/>
          <w:color w:val="161619"/>
          <w:sz w:val="18"/>
          <w:szCs w:val="18"/>
        </w:rPr>
        <w:t xml:space="preserve">Bank account (page 6): warning now separates initial approval from a possible later bank return and states no return period (VN12). The screenshot still shows a period (VN19).</w:t>
      </w:r>
    </w:p>
    <w:p>
      <w:pPr>
        <w:pStyle w:val="ListParagraph"/>
        <w:numPr>
          <w:ilvl w:val="0"/>
          <w:numId w:val="1"/>
        </w:numPr>
        <w:spacing w:after="100" w:before="0"/>
      </w:pPr>
      <w:r>
        <w:rPr>
          <w:rFonts w:ascii="Arial" w:cs="Arial" w:eastAsia="Arial" w:hAnsi="Arial"/>
          <w:color w:val="161619"/>
          <w:sz w:val="18"/>
          <w:szCs w:val="18"/>
        </w:rPr>
        <w:t xml:space="preserve">Export transactions (page 13): navigation path escalated to High priority for confirmation against the live interface (VN15).</w:t>
      </w:r>
    </w:p>
    <w:p>
      <w:pPr>
        <w:pStyle w:val="ListParagraph"/>
        <w:numPr>
          <w:ilvl w:val="0"/>
          <w:numId w:val="1"/>
        </w:numPr>
        <w:spacing w:after="100" w:before="0"/>
      </w:pPr>
      <w:r>
        <w:rPr>
          <w:rFonts w:ascii="Arial" w:cs="Arial" w:eastAsia="Arial" w:hAnsi="Arial"/>
          <w:color w:val="161619"/>
          <w:sz w:val="18"/>
          <w:szCs w:val="18"/>
        </w:rPr>
        <w:t xml:space="preserve">Monthly Settlement considered and NOT added (VN20). QuickPortal-only items are now labelled by basis in this document (column Basis).</w:t>
      </w:r>
    </w:p>
    <w:p>
      <w:pPr>
        <w:pStyle w:val="ListParagraph"/>
        <w:numPr>
          <w:ilvl w:val="0"/>
          <w:numId w:val="1"/>
        </w:numPr>
        <w:spacing w:after="100" w:before="0"/>
      </w:pPr>
      <w:r>
        <w:rPr>
          <w:rFonts w:ascii="Arial" w:cs="Arial" w:eastAsia="Arial" w:hAnsi="Arial"/>
          <w:color w:val="161619"/>
          <w:sz w:val="18"/>
          <w:szCs w:val="18"/>
        </w:rPr>
        <w:t xml:space="preserve">Screenshots cropped to remove the empty left margin so the screen text is larger; pages re-spaced, with the same page count (VN21).</w:t>
      </w:r>
    </w:p>
    <w:p>
      <w:pPr>
        <w:pStyle w:val="ListParagraph"/>
        <w:numPr>
          <w:ilvl w:val="0"/>
          <w:numId w:val="1"/>
        </w:numPr>
        <w:spacing w:after="100" w:before="0"/>
      </w:pPr>
      <w:r>
        <w:rPr>
          <w:rFonts w:ascii="Arial" w:cs="Arial" w:eastAsia="Arial" w:hAnsi="Arial"/>
          <w:color w:val="161619"/>
          <w:sz w:val="18"/>
          <w:szCs w:val="18"/>
        </w:rPr>
        <w:t xml:space="preserve">Screenshot Capture Checklist re-ordered by priority and by validation versus finished-guide use; new validation-only captures V1-V3 added.</w:t>
      </w:r>
    </w:p>
    <w:sectPr>
      <w:footerReference w:type="default" r:id="rId6"/>
      <w:pgSz w:w="16838" w:h="11906" w:orient="landscape"/>
      <w:pgMar w:top="800" w:right="700" w:bottom="800" w:left="7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5400"/>
      </w:tabs>
    </w:pPr>
    <w:r>
      <w:rPr>
        <w:rFonts w:ascii="Arial" w:cs="Arial" w:eastAsia="Arial" w:hAnsi="Arial"/>
        <w:color w:val="706F7C"/>
        <w:sz w:val="14"/>
        <w:szCs w:val="14"/>
      </w:rPr>
      <w:t xml:space="preserve">Validation Notes  |  QuickTerminal Quick Start Guide Version 1.3 (Draft)  |  9 October 2026</w:t>
    </w:r>
    <w:r>
      <w:rPr>
        <w:rFonts w:ascii="Arial" w:cs="Arial" w:eastAsia="Arial" w:hAnsi="Arial"/>
      </w:rPr>
      <w:t xml:space="preserve">	</w:t>
    </w:r>
    <w:r>
      <w:rPr>
        <w:rFonts w:ascii="Arial" w:cs="Arial" w:eastAsia="Arial" w:hAnsi="Arial"/>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rfwpcexxw4tihaamqbp8v" Type="http://schemas.openxmlformats.org/officeDocument/2006/relationships/hyperlink" Target="https://quickstream.westpac.com.au/docs/quickportal/" TargetMode="External"/><Relationship Id="rIdbs-_x6zvso_ccyfakc2wj" Type="http://schemas.openxmlformats.org/officeDocument/2006/relationships/hyperlink" Target="https://quickstream.westpac.com.au/docs/payto/" TargetMode="External"/><Relationship Id="rIdy7f5dvkhljc3wz2-ereqk" Type="http://schemas.openxmlformats.org/officeDocument/2006/relationships/hyperlink" Target="https://quickstream.westpac.com.au/docs/general/transaction-settlemen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Notes</dc:title>
  <dc:creator>QuickStream</dc:creator>
  <cp:lastModifiedBy>Un-named</cp:lastModifiedBy>
  <cp:revision>1</cp:revision>
  <dcterms:created xsi:type="dcterms:W3CDTF">2026-10-09T07:56:24.536Z</dcterms:created>
  <dcterms:modified xsi:type="dcterms:W3CDTF">2026-10-09T07:56:24.536Z</dcterms:modified>
</cp:coreProperties>
</file>

<file path=docProps/custom.xml><?xml version="1.0" encoding="utf-8"?>
<Properties xmlns="http://schemas.openxmlformats.org/officeDocument/2006/custom-properties" xmlns:vt="http://schemas.openxmlformats.org/officeDocument/2006/docPropsVTypes"/>
</file>