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 Implementation Guides – Review &amp; Edits</w:t>
      </w:r>
    </w:p>
    <w:p>
      <w:pPr/>
      <w:r>
        <w:t xml:space="preserve">Oct 26, 2026</w:t>
      </w:r>
      <w:r>
        <w:t xml:space="preserve"> · </w:t>
      </w:r>
      <w:r>
        <w:t xml:space="preserve">@Mia Pursehouse</w:t>
      </w:r>
    </w:p>
    <w:p>
      <w:pPr>
        <w:pStyle w:val="Heading2"/>
      </w:pPr>
      <w:r>
        <w:t xml:space="preserve">Priority 1 – Errors and contradictions</w:t>
      </w:r>
    </w:p>
    <w:p>
      <w:pPr/>
      <w:r>
        <w:t xml:space="preserve">These edits fix wrong or conflicting instructions that could lead a BA to build or test something incorrectly.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3"/>
        <w:gridCol w:w="3530"/>
        <w:gridCol w:w="323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3" w:type="dxa"/>
            <w:shd w:val="clear" w:color="auto" w:fill="F2F2F2"/>
          </w:tcPr>
          <w:p>
            <w:pPr/>
            <w:r>
              <w:t xml:space="preserve">Guide · section</w:t>
            </w:r>
          </w:p>
        </w:tc>
        <w:tc>
          <w:tcPr>
            <w:tcW w:w="353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3237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1.1</w:t>
            </w:r>
          </w:p>
        </w:tc>
        <w:tc>
          <w:tcPr>
            <w:tcW w:w="1873" w:type="dxa"/>
          </w:tcPr>
          <w:p>
            <w:pPr/>
            <w:r>
              <w:t xml:space="preserve">iLink Implementation Guide · Create new company</w:t>
            </w:r>
          </w:p>
        </w:tc>
        <w:tc>
          <w:tcPr>
            <w:tcW w:w="3530" w:type="dxa"/>
          </w:tcPr>
          <w:p>
            <w:pPr/>
            <w:r>
              <w:rPr>
                <w:b/>
              </w:rPr>
              <w:t xml:space="preserve">System code</w:t>
            </w:r>
            <w:r>
              <w:t xml:space="preserve"> has the same description as </w:t>
            </w:r>
            <w:r>
              <w:rPr>
                <w:b/>
              </w:rPr>
              <w:t xml:space="preserve">Name</w:t>
            </w:r>
            <w:r>
              <w:t xml:space="preserve"> ("A unique human readable name … for display purposes").</w:t>
            </w:r>
          </w:p>
        </w:tc>
        <w:tc>
          <w:tcPr>
            <w:tcW w:w="3237" w:type="dxa"/>
          </w:tcPr>
          <w:p>
            <w:pPr/>
            <w:r>
              <w:t xml:space="preserve">System code: "A unique upper-case code that identifies the Client System in all ICIS environments. It cannot be changed after the company is created."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1.2</w:t>
            </w:r>
          </w:p>
        </w:tc>
        <w:tc>
          <w:tcPr>
            <w:tcW w:w="1873" w:type="dxa"/>
          </w:tcPr>
          <w:p>
            <w:pPr/>
            <w:r>
              <w:t xml:space="preserve">iLink Implementation Guide · Testing (SFTP UAT and PVT)</w:t>
            </w:r>
          </w:p>
        </w:tc>
        <w:tc>
          <w:tcPr>
            <w:tcW w:w="3530" w:type="dxa"/>
          </w:tcPr>
          <w:p>
            <w:pPr/>
            <w:r>
              <w:t xml:space="preserve">Says the client encrypts the file "(binary mode)". The </w:t>
            </w:r>
            <w:hyperlink r:id="rId5" w:history="1">
              <w:r>
                <w:rPr>
                  <w:rStyle w:val="Hyperlink"/>
                </w:rPr>
                <w:t xml:space="preserve">public SFTP docs</w:t>
              </w:r>
            </w:hyperlink>
            <w:r>
              <w:t xml:space="preserve"> say files must be encrypted, signed, ASCII-armoured and compressed. The bullets also leave out signing.</w:t>
            </w:r>
          </w:p>
        </w:tc>
        <w:tc>
          <w:tcPr>
            <w:tcW w:w="3237" w:type="dxa"/>
          </w:tcPr>
          <w:p>
            <w:pPr/>
            <w:r>
              <w:t xml:space="preserve">"Client encrypts the file with Westpac's public PGP key, signs it with their private key (ASCII-armoured, compressed) and uploads it."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1.3</w:t>
            </w:r>
          </w:p>
        </w:tc>
        <w:tc>
          <w:tcPr>
            <w:tcW w:w="1873" w:type="dxa"/>
          </w:tcPr>
          <w:p>
            <w:pPr/>
            <w:r>
              <w:t xml:space="preserve">ICIS Common Routing Rules · Straight Through and Via Corporate Online</w:t>
            </w:r>
          </w:p>
        </w:tc>
        <w:tc>
          <w:tcPr>
            <w:tcW w:w="3530" w:type="dxa"/>
          </w:tcPr>
          <w:p>
            <w:pPr/>
            <w:r>
              <w:t xml:space="preserve">The forwarding rule (ABACOLPreprocessor) only runs when </w:t>
            </w:r>
            <w:r>
              <w:rPr>
                <w:i/>
              </w:rPr>
              <w:t xml:space="preserve">Validated is 'true'</w:t>
            </w:r>
            <w:r>
              <w:t xml:space="preserve">, which the DE Validator sets. The warning still says "Ensure this rule sits </w:t>
            </w:r>
            <w:r>
              <w:rPr>
                <w:b/>
              </w:rPr>
              <w:t xml:space="preserve">above</w:t>
            </w:r>
            <w:r>
              <w:t xml:space="preserve"> the DE Validator rule".</w:t>
            </w:r>
          </w:p>
        </w:tc>
        <w:tc>
          <w:tcPr>
            <w:tcW w:w="3237" w:type="dxa"/>
          </w:tcPr>
          <w:p>
            <w:pPr/>
            <w:r>
              <w:t xml:space="preserve">Change to "below", or explain why it must sit above. Confirm with ICIS SME (see last section).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1.4</w:t>
            </w:r>
          </w:p>
        </w:tc>
        <w:tc>
          <w:tcPr>
            <w:tcW w:w="1873" w:type="dxa"/>
          </w:tcPr>
          <w:p>
            <w:pPr/>
            <w:r>
              <w:t xml:space="preserve">Implementation Billing Guide · Key Terms</w:t>
            </w:r>
          </w:p>
        </w:tc>
        <w:tc>
          <w:tcPr>
            <w:tcW w:w="3530" w:type="dxa"/>
          </w:tcPr>
          <w:p>
            <w:pPr/>
            <w:r>
              <w:t xml:space="preserve">ORMB is expanded as "Oracle </w:t>
            </w:r>
            <w:r>
              <w:rPr>
                <w:b/>
              </w:rPr>
              <w:t xml:space="preserve">Records</w:t>
            </w:r>
            <w:r>
              <w:t xml:space="preserve"> Management and Billing".</w:t>
            </w:r>
          </w:p>
        </w:tc>
        <w:tc>
          <w:tcPr>
            <w:tcW w:w="3237" w:type="dxa"/>
          </w:tcPr>
          <w:p>
            <w:pPr/>
            <w:r>
              <w:t xml:space="preserve">Oracle </w:t>
            </w:r>
            <w:r>
              <w:rPr>
                <w:b/>
              </w:rPr>
              <w:t xml:space="preserve">Revenue</w:t>
            </w:r>
            <w:r>
              <w:t xml:space="preserve"> Management and Billing. Also spell out WIB (Westpac Institutional Bank) on first use.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1.5</w:t>
            </w:r>
          </w:p>
        </w:tc>
        <w:tc>
          <w:tcPr>
            <w:tcW w:w="1873" w:type="dxa"/>
          </w:tcPr>
          <w:p>
            <w:pPr/>
            <w:r>
              <w:t xml:space="preserve">Implementation Billing Guide · BankRec billing</w:t>
            </w:r>
          </w:p>
        </w:tc>
        <w:tc>
          <w:tcPr>
            <w:tcW w:w="3530" w:type="dxa"/>
          </w:tcPr>
          <w:p>
            <w:pPr/>
            <w:r>
              <w:t xml:space="preserve">The note says </w:t>
            </w:r>
            <w:r>
              <w:rPr>
                <w:i/>
              </w:rPr>
              <w:t xml:space="preserve">do not</w:t>
            </w:r>
            <w:r>
              <w:t xml:space="preserve"> tick </w:t>
            </w:r>
            <w:r>
              <w:rPr>
                <w:b/>
              </w:rPr>
              <w:t xml:space="preserve">Reconcile</w:t>
            </w:r>
            <w:r>
              <w:t xml:space="preserve">, or the ORMB item won't match. The on-screen hint says "Uncheck if you expect $0.00 from ORMB", which suggests it should be ticked when revenue is expected.</w:t>
            </w:r>
          </w:p>
        </w:tc>
        <w:tc>
          <w:tcPr>
            <w:tcW w:w="3237" w:type="dxa"/>
          </w:tcPr>
          <w:p>
            <w:pPr/>
            <w:r>
              <w:t xml:space="preserve">Confirm the correct setting, then make the note and the screenshot agree. Use the same wording in the QuickStream and iLink once-off revenue steps.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1.6</w:t>
            </w:r>
          </w:p>
        </w:tc>
        <w:tc>
          <w:tcPr>
            <w:tcW w:w="1873" w:type="dxa"/>
          </w:tcPr>
          <w:p>
            <w:pPr/>
            <w:r>
              <w:t xml:space="preserve">iLink Implementation Guide and iLink SFTP Reference Guide</w:t>
            </w:r>
          </w:p>
        </w:tc>
        <w:tc>
          <w:tcPr>
            <w:tcW w:w="3530" w:type="dxa"/>
          </w:tcPr>
          <w:p>
            <w:pPr/>
            <w:r>
              <w:t xml:space="preserve">Three retention periods with no explanation: file retention "100 days", duplicate-check archive "e.g. 90 days", and the public docs say polled files are deleted after 30 days.</w:t>
            </w:r>
          </w:p>
        </w:tc>
        <w:tc>
          <w:tcPr>
            <w:tcW w:w="3237" w:type="dxa"/>
          </w:tcPr>
          <w:p>
            <w:pPr/>
            <w:r>
              <w:t xml:space="preserve">Add one line saying what each period covers (iLink file retention, ICIS duplicate archive, SFTP outgoing folder).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1.7</w:t>
            </w:r>
          </w:p>
        </w:tc>
        <w:tc>
          <w:tcPr>
            <w:tcW w:w="1873" w:type="dxa"/>
          </w:tcPr>
          <w:p>
            <w:pPr/>
            <w:r>
              <w:t xml:space="preserve">iLink SFTP Reference Guide · Explaining SFTP File Transfer</w:t>
            </w:r>
          </w:p>
        </w:tc>
        <w:tc>
          <w:tcPr>
            <w:tcW w:w="3530" w:type="dxa"/>
          </w:tcPr>
          <w:p>
            <w:pPr/>
            <w:r>
              <w:t xml:space="preserve">The section describes PGP encryption and signing, not SFTP. SFTP access uses an SSH key (2048-bit RSA, no passphrase) plus an IP whitelist.</w:t>
            </w:r>
          </w:p>
        </w:tc>
        <w:tc>
          <w:tcPr>
            <w:tcW w:w="3237" w:type="dxa"/>
          </w:tcPr>
          <w:p>
            <w:pPr/>
            <w:r>
              <w:t xml:space="preserve">Rename it "How files are encrypted and signed (PGP)". Add one line on SSH key login and IP whitelisting on port 22.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1.8</w:t>
            </w:r>
          </w:p>
        </w:tc>
        <w:tc>
          <w:tcPr>
            <w:tcW w:w="1873" w:type="dxa"/>
          </w:tcPr>
          <w:p>
            <w:pPr/>
            <w:r>
              <w:t xml:space="preserve">iLink Implementation Guide · Testing (REST UAT)</w:t>
            </w:r>
          </w:p>
        </w:tc>
        <w:tc>
          <w:tcPr>
            <w:tcW w:w="3530" w:type="dxa"/>
          </w:tcPr>
          <w:p>
            <w:pPr/>
            <w:r>
              <w:t xml:space="preserve">"Valid success response (e.g. 200/202)". The </w:t>
            </w:r>
            <w:hyperlink r:id="rId6" w:history="1">
              <w:r>
                <w:rPr>
                  <w:rStyle w:val="Hyperlink"/>
                </w:rPr>
                <w:t xml:space="preserve">REST docs</w:t>
              </w:r>
            </w:hyperlink>
            <w:r>
              <w:t xml:space="preserve"> say an upload returns </w:t>
            </w:r>
            <w:r>
              <w:rPr>
                <w:b/>
              </w:rPr>
              <w:t xml:space="preserve">202 Accepted</w:t>
            </w:r>
            <w:r>
              <w:t xml:space="preserve"> and can still be rejected later.</w:t>
            </w:r>
          </w:p>
        </w:tc>
        <w:tc>
          <w:tcPr>
            <w:tcW w:w="3237" w:type="dxa"/>
          </w:tcPr>
          <w:p>
            <w:pPr/>
            <w:r>
              <w:t xml:space="preserve">"Upload returns 202 Accepted. Confirm the file was then processed in iLink." In </w:t>
            </w:r>
            <w:r>
              <w:rPr>
                <w:i/>
              </w:rPr>
              <w:t xml:space="preserve">SFTP vs REST</w:t>
            </w:r>
            <w:r>
              <w:t xml:space="preserve">, change "validation and feedback immediately" to "immediate confirmation of receipt".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1.9</w:t>
            </w:r>
          </w:p>
        </w:tc>
        <w:tc>
          <w:tcPr>
            <w:tcW w:w="1873" w:type="dxa"/>
          </w:tcPr>
          <w:p>
            <w:pPr/>
            <w:r>
              <w:t xml:space="preserve">BankRec and iLink Implementation Guides · Testing / Lodgment</w:t>
            </w:r>
          </w:p>
        </w:tc>
        <w:tc>
          <w:tcPr>
            <w:tcW w:w="3530" w:type="dxa"/>
          </w:tcPr>
          <w:p>
            <w:pPr/>
            <w:r>
              <w:t xml:space="preserve">PVT is listed under Testing, </w:t>
            </w:r>
            <w:r>
              <w:rPr>
                <w:i/>
              </w:rPr>
              <w:t xml:space="preserve">before</w:t>
            </w:r>
            <w:r>
              <w:t xml:space="preserve"> Lodgment, but PVT happens in production after lodgment. The Billing Guide also says to check billing "once your customer has completed PVT".</w:t>
            </w:r>
          </w:p>
        </w:tc>
        <w:tc>
          <w:tcPr>
            <w:tcW w:w="3237" w:type="dxa"/>
          </w:tcPr>
          <w:p>
            <w:pPr/>
            <w:r>
              <w:t xml:space="preserve">Order the sections UAT → Lodgment → PVT, or label PVT as a post-lodgment step.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1.10</w:t>
            </w:r>
          </w:p>
        </w:tc>
        <w:tc>
          <w:tcPr>
            <w:tcW w:w="1873" w:type="dxa"/>
          </w:tcPr>
          <w:p>
            <w:pPr/>
            <w:r>
              <w:t xml:space="preserve">iLink Implementation Guide · Lodgment</w:t>
            </w:r>
          </w:p>
        </w:tc>
        <w:tc>
          <w:tcPr>
            <w:tcW w:w="3530" w:type="dxa"/>
          </w:tcPr>
          <w:p>
            <w:pPr/>
            <w:r>
              <w:t xml:space="preserve">"If an operations member doesn't pick up the connectivity request ticket within 2 days contact them (SLA is 3 days)" contradicts itself.</w:t>
            </w:r>
          </w:p>
        </w:tc>
        <w:tc>
          <w:tcPr>
            <w:tcW w:w="3237" w:type="dxa"/>
          </w:tcPr>
          <w:p>
            <w:pPr/>
            <w:r>
              <w:t xml:space="preserve">"Operations' SLA is 3 business days. If the ticket isn't picked up within 2 business days, follow up with Operations." Also add that production IPs must be set up at least 5 business days before go-live (</w:t>
            </w:r>
            <w:hyperlink r:id="rId5" w:history="1">
              <w:r>
                <w:rPr>
                  <w:rStyle w:val="Hyperlink"/>
                </w:rPr>
                <w:t xml:space="preserve">SFTP docs</w:t>
              </w:r>
            </w:hyperlink>
            <w:r>
              <w:t xml:space="preserve">).</w:t>
            </w:r>
          </w:p>
        </w:tc>
      </w:tr>
    </w:tbl>
    <w:p>
      <w:pPr>
        <w:pStyle w:val="Heading2"/>
      </w:pPr>
      <w:r>
        <w:t xml:space="preserve">Priority 2 – Customer data, links and missing content</w:t>
      </w:r>
    </w:p>
    <w:p>
      <w:pPr/>
      <w:r>
        <w:t xml:space="preserve">These edits remove real customer details and fill gaps where a BA would get stuck or follow a dead end.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175"/>
        <w:gridCol w:w="3570"/>
        <w:gridCol w:w="289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175" w:type="dxa"/>
            <w:shd w:val="clear" w:color="auto" w:fill="F2F2F2"/>
          </w:tcPr>
          <w:p>
            <w:pPr/>
            <w:r>
              <w:t xml:space="preserve">Guide · section</w:t>
            </w:r>
          </w:p>
        </w:tc>
        <w:tc>
          <w:tcPr>
            <w:tcW w:w="357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895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2.1</w:t>
            </w:r>
          </w:p>
        </w:tc>
        <w:tc>
          <w:tcPr>
            <w:tcW w:w="2175" w:type="dxa"/>
          </w:tcPr>
          <w:p>
            <w:pPr/>
            <w:r>
              <w:t xml:space="preserve">Implementation Billing Guide · screenshots and sample emails</w:t>
            </w:r>
          </w:p>
        </w:tc>
        <w:tc>
          <w:tcPr>
            <w:tcW w:w="3570" w:type="dxa"/>
          </w:tcPr>
          <w:p>
            <w:pPr/>
            <w:r>
              <w:t xml:space="preserve">Real customer details appear in examples: business names (Coles Insurance, Kmart Tyre and Auto), a CIS key, usage accounts (COVERMORENZ, RAMSAYTCC, BRRACWAHOLDINGS) and account numbers.</w:t>
            </w:r>
          </w:p>
        </w:tc>
        <w:tc>
          <w:tcPr>
            <w:tcW w:w="2895" w:type="dxa"/>
          </w:tcPr>
          <w:p>
            <w:pPr/>
            <w:r>
              <w:t xml:space="preserve">Replace with dummy values (e.g. DEMOCO, CIS key 00000000000) or blur them in the screenshots.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2.2</w:t>
            </w:r>
          </w:p>
        </w:tc>
        <w:tc>
          <w:tcPr>
            <w:tcW w:w="2175" w:type="dxa"/>
          </w:tcPr>
          <w:p>
            <w:pPr/>
            <w:r>
              <w:t xml:space="preserve">BankRec and iLink Implementation Guides · Lodgment</w:t>
            </w:r>
          </w:p>
        </w:tc>
        <w:tc>
          <w:tcPr>
            <w:tcW w:w="3570" w:type="dxa"/>
          </w:tcPr>
          <w:p>
            <w:pPr/>
            <w:r>
              <w:t xml:space="preserve">Both link to "Implementation Billing 101", an old page name.</w:t>
            </w:r>
          </w:p>
        </w:tc>
        <w:tc>
          <w:tcPr>
            <w:tcW w:w="2895" w:type="dxa"/>
          </w:tcPr>
          <w:p>
            <w:pPr/>
            <w:r>
              <w:t xml:space="preserve">Relink to the Implementation Billing Guide, at the BankRec or iLink section.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2.3</w:t>
            </w:r>
          </w:p>
        </w:tc>
        <w:tc>
          <w:tcPr>
            <w:tcW w:w="2175" w:type="dxa"/>
          </w:tcPr>
          <w:p>
            <w:pPr/>
            <w:r>
              <w:t xml:space="preserve">iLink Implementation Guide · Initiation</w:t>
            </w:r>
          </w:p>
        </w:tc>
        <w:tc>
          <w:tcPr>
            <w:tcW w:w="3570" w:type="dxa"/>
          </w:tcPr>
          <w:p>
            <w:pPr/>
            <w:r>
              <w:t xml:space="preserve">Links to a "REST API reference guide", but the index page still lists "iLink REST API ref guide" as to-do.</w:t>
            </w:r>
          </w:p>
        </w:tc>
        <w:tc>
          <w:tcPr>
            <w:tcW w:w="2895" w:type="dxa"/>
          </w:tcPr>
          <w:p>
            <w:pPr/>
            <w:r>
              <w:t xml:space="preserve">Link to the public </w:t>
            </w:r>
            <w:hyperlink r:id="rId6" w:history="1">
              <w:r>
                <w:rPr>
                  <w:rStyle w:val="Hyperlink"/>
                </w:rPr>
                <w:t xml:space="preserve">REST API reference</w:t>
              </w:r>
            </w:hyperlink>
            <w:r>
              <w:t xml:space="preserve"> until the internal guide exists.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2.4</w:t>
            </w:r>
          </w:p>
        </w:tc>
        <w:tc>
          <w:tcPr>
            <w:tcW w:w="2175" w:type="dxa"/>
          </w:tcPr>
          <w:p>
            <w:pPr/>
            <w:r>
              <w:t xml:space="preserve">Implementation Billing Guide · Implementation of iLink Billing</w:t>
            </w:r>
          </w:p>
        </w:tc>
        <w:tc>
          <w:tcPr>
            <w:tcW w:w="3570" w:type="dxa"/>
          </w:tcPr>
          <w:p>
            <w:pPr/>
            <w:r>
              <w:t xml:space="preserve">Only says "See iLink billing setup", a page in another space (ILINC) last updated Nov 2025.</w:t>
            </w:r>
          </w:p>
        </w:tc>
        <w:tc>
          <w:tcPr>
            <w:tcW w:w="2895" w:type="dxa"/>
          </w:tcPr>
          <w:p>
            <w:pPr/>
            <w:r>
              <w:t xml:space="preserve">Add the 3 key facts inline: prefix IL + system code (NZIL for NZ), billing code can't be changed, status shows "Pending confirmation" until ORMB is set up. Keep the link.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2.5</w:t>
            </w:r>
          </w:p>
        </w:tc>
        <w:tc>
          <w:tcPr>
            <w:tcW w:w="2175" w:type="dxa"/>
          </w:tcPr>
          <w:p>
            <w:pPr/>
            <w:r>
              <w:t xml:space="preserve">iLink Implementation Guide · Testing</w:t>
            </w:r>
          </w:p>
        </w:tc>
        <w:tc>
          <w:tcPr>
            <w:tcW w:w="3570" w:type="dxa"/>
          </w:tcPr>
          <w:p>
            <w:pPr/>
            <w:r>
              <w:t xml:space="preserve">Covers SFTP push-poll and REST only. There is no test list for SFTP push-push (Active Push), though the SFTP guide and debugging links cover it.</w:t>
            </w:r>
          </w:p>
        </w:tc>
        <w:tc>
          <w:tcPr>
            <w:tcW w:w="2895" w:type="dxa"/>
          </w:tcPr>
          <w:p>
            <w:pPr/>
            <w:r>
              <w:t xml:space="preserve">Add a short push-push UAT list: customer server reachable, host key known, login has write access, file lands in the agreed folder.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2.6</w:t>
            </w:r>
          </w:p>
        </w:tc>
        <w:tc>
          <w:tcPr>
            <w:tcW w:w="2175" w:type="dxa"/>
          </w:tcPr>
          <w:p>
            <w:pPr/>
            <w:r>
              <w:t xml:space="preserve">BankRec and iLink Implementation Guides · Testing</w:t>
            </w:r>
          </w:p>
        </w:tc>
        <w:tc>
          <w:tcPr>
            <w:tcW w:w="3570" w:type="dxa"/>
          </w:tcPr>
          <w:p>
            <w:pPr/>
            <w:r>
              <w:t xml:space="preserve">UAT and PVT bullet lists are identical, so PVT gives no extra guidance.</w:t>
            </w:r>
          </w:p>
        </w:tc>
        <w:tc>
          <w:tcPr>
            <w:tcW w:w="2895" w:type="dxa"/>
          </w:tcPr>
          <w:p>
            <w:pPr/>
            <w:r>
              <w:t xml:space="preserve">For PVT, name what differs: production endpoint and keys, a real low-value file, and checking the first production file end to end.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2.7</w:t>
            </w:r>
          </w:p>
        </w:tc>
        <w:tc>
          <w:tcPr>
            <w:tcW w:w="2175" w:type="dxa"/>
          </w:tcPr>
          <w:p>
            <w:pPr/>
            <w:r>
              <w:t xml:space="preserve">BankRec Implementation Guide · Requirements</w:t>
            </w:r>
          </w:p>
        </w:tc>
        <w:tc>
          <w:tcPr>
            <w:tcW w:w="3570" w:type="dxa"/>
          </w:tcPr>
          <w:p>
            <w:pPr/>
            <w:r>
              <w:t xml:space="preserve">Debulking/enrichment is asked about, but not whether the statement format supports it. The </w:t>
            </w:r>
            <w:hyperlink r:id="rId7" w:history="1">
              <w:r>
                <w:rPr>
                  <w:rStyle w:val="Hyperlink"/>
                </w:rPr>
                <w:t xml:space="preserve">enrichment docs</w:t>
              </w:r>
            </w:hyperlink>
            <w:r>
              <w:t xml:space="preserve"> say COL CSV supports none, and camt.053 and Extended CSV support the most.</w:t>
            </w:r>
          </w:p>
        </w:tc>
        <w:tc>
          <w:tcPr>
            <w:tcW w:w="2895" w:type="dxa"/>
          </w:tcPr>
          <w:p>
            <w:pPr/>
            <w:r>
              <w:t xml:space="preserve">Add: "Confirm the chosen statement format supports the enrichment required." Link the BankRec format pages.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2.8</w:t>
            </w:r>
          </w:p>
        </w:tc>
        <w:tc>
          <w:tcPr>
            <w:tcW w:w="2175" w:type="dxa"/>
          </w:tcPr>
          <w:p>
            <w:pPr/>
            <w:r>
              <w:t xml:space="preserve">Implementation Billing Guide · Finding/Searching for BankRec billing</w:t>
            </w:r>
          </w:p>
        </w:tc>
        <w:tc>
          <w:tcPr>
            <w:tcW w:w="3570" w:type="dxa"/>
          </w:tcPr>
          <w:p>
            <w:pPr/>
            <w:r>
              <w:t xml:space="preserve">Step 4 is an unfinished sentence ("If you manage to find your revenue item but you don't have an expected once-off revenue item … page.").</w:t>
            </w:r>
          </w:p>
        </w:tc>
        <w:tc>
          <w:tcPr>
            <w:tcW w:w="2895" w:type="dxa"/>
          </w:tcPr>
          <w:p>
            <w:pPr/>
            <w:r>
              <w:t xml:space="preserve">Finish it with the action, e.g. "… add the expected once-off revenue item, then run the reconciler."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2.9</w:t>
            </w:r>
          </w:p>
        </w:tc>
        <w:tc>
          <w:tcPr>
            <w:tcW w:w="2175" w:type="dxa"/>
          </w:tcPr>
          <w:p>
            <w:pPr/>
            <w:r>
              <w:t xml:space="preserve">iLink Implementation Guide · Create new company</w:t>
            </w:r>
          </w:p>
        </w:tc>
        <w:tc>
          <w:tcPr>
            <w:tcW w:w="3570" w:type="dxa"/>
          </w:tcPr>
          <w:p>
            <w:pPr/>
            <w:r>
              <w:t xml:space="preserve">"Unzip default" has no value or explanation.</w:t>
            </w:r>
          </w:p>
        </w:tc>
        <w:tc>
          <w:tcPr>
            <w:tcW w:w="2895" w:type="dxa"/>
          </w:tcPr>
          <w:p>
            <w:pPr/>
            <w:r>
              <w:t xml:space="preserve">State the default and when to change it, as for the other settings.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2.10</w:t>
            </w:r>
          </w:p>
        </w:tc>
        <w:tc>
          <w:tcPr>
            <w:tcW w:w="2175" w:type="dxa"/>
          </w:tcPr>
          <w:p>
            <w:pPr/>
            <w:r>
              <w:t xml:space="preserve">iLink Implementation Guide · Testing</w:t>
            </w:r>
          </w:p>
        </w:tc>
        <w:tc>
          <w:tcPr>
            <w:tcW w:w="3570" w:type="dxa"/>
          </w:tcPr>
          <w:p>
            <w:pPr/>
            <w:r>
              <w:t xml:space="preserve">The "Testing" heading appears twice, with an empty section above the real one.</w:t>
            </w:r>
          </w:p>
        </w:tc>
        <w:tc>
          <w:tcPr>
            <w:tcW w:w="2895" w:type="dxa"/>
          </w:tcPr>
          <w:p>
            <w:pPr/>
            <w:r>
              <w:t xml:space="preserve">Delete the empty section.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2.11</w:t>
            </w:r>
          </w:p>
        </w:tc>
        <w:tc>
          <w:tcPr>
            <w:tcW w:w="2175" w:type="dxa"/>
          </w:tcPr>
          <w:p>
            <w:pPr/>
            <w:r>
              <w:t xml:space="preserve">iLink SFTP Reference Guide and Implementation Billing Guide · Contents</w:t>
            </w:r>
          </w:p>
        </w:tc>
        <w:tc>
          <w:tcPr>
            <w:tcW w:w="3570" w:type="dxa"/>
          </w:tcPr>
          <w:p>
            <w:pPr/>
            <w:r>
              <w:t xml:space="preserve">The contents lists are typed by hand and missing headings: </w:t>
            </w:r>
            <w:r>
              <w:rPr>
                <w:i/>
              </w:rPr>
              <w:t xml:space="preserve">Multiple Incoming Folder Requirement</w:t>
            </w:r>
            <w:r>
              <w:t xml:space="preserve"> (SFTP), the two BankRec sub-sections and </w:t>
            </w:r>
            <w:r>
              <w:rPr>
                <w:i/>
              </w:rPr>
              <w:t xml:space="preserve">Finding/Searching for Payments Plus billing</w:t>
            </w:r>
            <w:r>
              <w:t xml:space="preserve"> (Billing).</w:t>
            </w:r>
          </w:p>
        </w:tc>
        <w:tc>
          <w:tcPr>
            <w:tcW w:w="2895" w:type="dxa"/>
          </w:tcPr>
          <w:p>
            <w:pPr/>
            <w:r>
              <w:t xml:space="preserve">Replace them with the Confluence Table of Contents macro so they stay in sync.</w:t>
            </w:r>
          </w:p>
        </w:tc>
      </w:tr>
    </w:tbl>
    <w:p>
      <w:pPr>
        <w:pStyle w:val="Heading2"/>
      </w:pPr>
      <w:r>
        <w:t xml:space="preserve">Priority 3 – Consistency across guides</w:t>
      </w:r>
    </w:p>
    <w:p>
      <w:pPr/>
      <w:r>
        <w:t xml:space="preserve">Pick one term for each concept and use it in every guide. Most of these can be done with find and replace.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645"/>
        <w:gridCol w:w="3271"/>
        <w:gridCol w:w="272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645" w:type="dxa"/>
            <w:shd w:val="clear" w:color="auto" w:fill="F2F2F2"/>
          </w:tcPr>
          <w:p>
            <w:pPr/>
            <w:r>
              <w:t xml:space="preserve">Currently used</w:t>
            </w:r>
          </w:p>
        </w:tc>
        <w:tc>
          <w:tcPr>
            <w:tcW w:w="3271" w:type="dxa"/>
            <w:shd w:val="clear" w:color="auto" w:fill="F2F2F2"/>
          </w:tcPr>
          <w:p>
            <w:pPr/>
            <w:r>
              <w:t xml:space="preserve">Use instead</w:t>
            </w:r>
          </w:p>
        </w:tc>
        <w:tc>
          <w:tcPr>
            <w:tcW w:w="2724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3.1</w:t>
            </w:r>
          </w:p>
        </w:tc>
        <w:tc>
          <w:tcPr>
            <w:tcW w:w="2645" w:type="dxa"/>
          </w:tcPr>
          <w:p>
            <w:pPr/>
            <w:r>
              <w:t xml:space="preserve">Quickstream, QuickStream</w:t>
            </w:r>
          </w:p>
        </w:tc>
        <w:tc>
          <w:tcPr>
            <w:tcW w:w="3271" w:type="dxa"/>
          </w:tcPr>
          <w:p>
            <w:pPr/>
            <w:r>
              <w:t xml:space="preserve">QuickStream (as in the public docs)</w:t>
            </w:r>
          </w:p>
        </w:tc>
        <w:tc>
          <w:tcPr>
            <w:tcW w:w="2724" w:type="dxa"/>
          </w:tcPr>
          <w:p>
            <w:pPr/>
            <w:r>
              <w:t xml:space="preserve">Billing Guide throughout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3.2</w:t>
            </w:r>
          </w:p>
        </w:tc>
        <w:tc>
          <w:tcPr>
            <w:tcW w:w="2645" w:type="dxa"/>
          </w:tcPr>
          <w:p>
            <w:pPr/>
            <w:r>
              <w:t xml:space="preserve">Payments Plus, PaymentsPlus</w:t>
            </w:r>
          </w:p>
        </w:tc>
        <w:tc>
          <w:tcPr>
            <w:tcW w:w="3271" w:type="dxa"/>
          </w:tcPr>
          <w:p>
            <w:pPr/>
            <w:r>
              <w:t xml:space="preserve">PaymentsPlus</w:t>
            </w:r>
          </w:p>
        </w:tc>
        <w:tc>
          <w:tcPr>
            <w:tcW w:w="2724" w:type="dxa"/>
          </w:tcPr>
          <w:p>
            <w:pPr/>
            <w:r>
              <w:t xml:space="preserve">Billing Guide headings and contents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3.3</w:t>
            </w:r>
          </w:p>
        </w:tc>
        <w:tc>
          <w:tcPr>
            <w:tcW w:w="2645" w:type="dxa"/>
          </w:tcPr>
          <w:p>
            <w:pPr/>
            <w:r>
              <w:t xml:space="preserve">ICIS, iCIS</w:t>
            </w:r>
          </w:p>
        </w:tc>
        <w:tc>
          <w:tcPr>
            <w:tcW w:w="3271" w:type="dxa"/>
          </w:tcPr>
          <w:p>
            <w:pPr/>
            <w:r>
              <w:t xml:space="preserve">ICIS (as in the page tree)</w:t>
            </w:r>
          </w:p>
        </w:tc>
        <w:tc>
          <w:tcPr>
            <w:tcW w:w="2724" w:type="dxa"/>
          </w:tcPr>
          <w:p>
            <w:pPr/>
            <w:r>
              <w:t xml:space="preserve">SFTP Reference Guide, iLink Implementation Guide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3.4</w:t>
            </w:r>
          </w:p>
        </w:tc>
        <w:tc>
          <w:tcPr>
            <w:tcW w:w="2645" w:type="dxa"/>
          </w:tcPr>
          <w:p>
            <w:pPr/>
            <w:r>
              <w:t xml:space="preserve">Billing Code, Biller Code, Sold Product, Sold Product ID, Usage Account</w:t>
            </w:r>
          </w:p>
        </w:tc>
        <w:tc>
          <w:tcPr>
            <w:tcW w:w="3271" w:type="dxa"/>
          </w:tcPr>
          <w:p>
            <w:pPr/>
            <w:r>
              <w:t xml:space="preserve">Sold Product ID. List the other names once in Key Terms. "Biller Code" is a BPAY term, so avoid it.</w:t>
            </w:r>
          </w:p>
        </w:tc>
        <w:tc>
          <w:tcPr>
            <w:tcW w:w="2724" w:type="dxa"/>
          </w:tcPr>
          <w:p>
            <w:pPr/>
            <w:r>
              <w:t xml:space="preserve">Billing Guide · Billing Code / Sold Product; iLink billing setup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3.5</w:t>
            </w:r>
          </w:p>
        </w:tc>
        <w:tc>
          <w:tcPr>
            <w:tcW w:w="2645" w:type="dxa"/>
          </w:tcPr>
          <w:p>
            <w:pPr/>
            <w:r>
              <w:t xml:space="preserve">Not Confirmed, Unconfirmed, Pending confirmation</w:t>
            </w:r>
          </w:p>
        </w:tc>
        <w:tc>
          <w:tcPr>
            <w:tcW w:w="3271" w:type="dxa"/>
          </w:tcPr>
          <w:p>
            <w:pPr/>
            <w:r>
              <w:t xml:space="preserve">The exact label each screen shows. Add a small table to Key Terms mapping each product's status labels.</w:t>
            </w:r>
          </w:p>
        </w:tc>
        <w:tc>
          <w:tcPr>
            <w:tcW w:w="2724" w:type="dxa"/>
          </w:tcPr>
          <w:p>
            <w:pPr/>
            <w:r>
              <w:t xml:space="preserve">Billing Guide (QuickStream, BankRec, PaymentsPlus), iLink billing setup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3.6</w:t>
            </w:r>
          </w:p>
        </w:tc>
        <w:tc>
          <w:tcPr>
            <w:tcW w:w="2645" w:type="dxa"/>
          </w:tcPr>
          <w:p>
            <w:pPr/>
            <w:r>
              <w:t xml:space="preserve">Lodgment, lodgement</w:t>
            </w:r>
          </w:p>
        </w:tc>
        <w:tc>
          <w:tcPr>
            <w:tcW w:w="3271" w:type="dxa"/>
          </w:tcPr>
          <w:p>
            <w:pPr/>
            <w:r>
              <w:t xml:space="preserve">Lodgement (Australian spelling)</w:t>
            </w:r>
          </w:p>
        </w:tc>
        <w:tc>
          <w:tcPr>
            <w:tcW w:w="2724" w:type="dxa"/>
          </w:tcPr>
          <w:p>
            <w:pPr/>
            <w:r>
              <w:t xml:space="preserve">BankRec and iLink Implementation Guides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3.7</w:t>
            </w:r>
          </w:p>
        </w:tc>
        <w:tc>
          <w:tcPr>
            <w:tcW w:w="2645" w:type="dxa"/>
          </w:tcPr>
          <w:p>
            <w:pPr/>
            <w:r>
              <w:t xml:space="preserve">Processing Class, Processor Class · DE Validator, DEValidator, DE validator</w:t>
            </w:r>
          </w:p>
        </w:tc>
        <w:tc>
          <w:tcPr>
            <w:tcW w:w="3271" w:type="dxa"/>
          </w:tcPr>
          <w:p>
            <w:pPr/>
            <w:r>
              <w:t xml:space="preserve">Processor Class · DEValidator (the plugin name)</w:t>
            </w:r>
          </w:p>
        </w:tc>
        <w:tc>
          <w:tcPr>
            <w:tcW w:w="2724" w:type="dxa"/>
          </w:tcPr>
          <w:p>
            <w:pPr/>
            <w:r>
              <w:t xml:space="preserve">ICIS Common Routing Rules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3.8</w:t>
            </w:r>
          </w:p>
        </w:tc>
        <w:tc>
          <w:tcPr>
            <w:tcW w:w="2645" w:type="dxa"/>
          </w:tcPr>
          <w:p>
            <w:pPr/>
            <w:r>
              <w:t xml:space="preserve">Click here to expand…, Click to expand…</w:t>
            </w:r>
          </w:p>
        </w:tc>
        <w:tc>
          <w:tcPr>
            <w:tcW w:w="3271" w:type="dxa"/>
          </w:tcPr>
          <w:p>
            <w:pPr/>
            <w:r>
              <w:t xml:space="preserve">One wording on every page</w:t>
            </w:r>
          </w:p>
        </w:tc>
        <w:tc>
          <w:tcPr>
            <w:tcW w:w="2724" w:type="dxa"/>
          </w:tcPr>
          <w:p>
            <w:pPr/>
            <w:r>
              <w:t xml:space="preserve">Billing Guide vs BankRec and iLink guides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3.9</w:t>
            </w:r>
          </w:p>
        </w:tc>
        <w:tc>
          <w:tcPr>
            <w:tcW w:w="2645" w:type="dxa"/>
          </w:tcPr>
          <w:p>
            <w:pPr/>
            <w:r>
              <w:t xml:space="preserve">push-poll, push-push</w:t>
            </w:r>
          </w:p>
        </w:tc>
        <w:tc>
          <w:tcPr>
            <w:tcW w:w="3271" w:type="dxa"/>
          </w:tcPr>
          <w:p>
            <w:pPr/>
            <w:r>
              <w:t xml:space="preserve">Keep them, but add one line mapping them to the public SFTP docs: </w:t>
            </w:r>
            <w:r>
              <w:rPr>
                <w:i/>
              </w:rPr>
              <w:t xml:space="preserve">customer poll</w:t>
            </w:r>
            <w:r>
              <w:t xml:space="preserve"> (push-poll) and </w:t>
            </w:r>
            <w:r>
              <w:rPr>
                <w:i/>
              </w:rPr>
              <w:t xml:space="preserve">Westpac push to customer</w:t>
            </w:r>
            <w:r>
              <w:t xml:space="preserve"> (push-push / Active Push).</w:t>
            </w:r>
          </w:p>
        </w:tc>
        <w:tc>
          <w:tcPr>
            <w:tcW w:w="2724" w:type="dxa"/>
          </w:tcPr>
          <w:p>
            <w:pPr/>
            <w:r>
              <w:t xml:space="preserve">SFTP Reference Guide · Push Poll vs Push Push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3.10</w:t>
            </w:r>
          </w:p>
        </w:tc>
        <w:tc>
          <w:tcPr>
            <w:tcW w:w="2645" w:type="dxa"/>
          </w:tcPr>
          <w:p>
            <w:pPr/>
            <w:r>
              <w:t xml:space="preserve">Westpac PM, Westpac Project Manager (PM)</w:t>
            </w:r>
          </w:p>
        </w:tc>
        <w:tc>
          <w:tcPr>
            <w:tcW w:w="3271" w:type="dxa"/>
          </w:tcPr>
          <w:p>
            <w:pPr/>
            <w:r>
              <w:t xml:space="preserve">Spell it out once per page, then "Westpac PM"</w:t>
            </w:r>
          </w:p>
        </w:tc>
        <w:tc>
          <w:tcPr>
            <w:tcW w:w="2724" w:type="dxa"/>
          </w:tcPr>
          <w:p>
            <w:pPr/>
            <w:r>
              <w:t xml:space="preserve">Billing Guide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3.11</w:t>
            </w:r>
          </w:p>
        </w:tc>
        <w:tc>
          <w:tcPr>
            <w:tcW w:w="2645" w:type="dxa"/>
          </w:tcPr>
          <w:p>
            <w:pPr/>
            <w:r>
              <w:t xml:space="preserve">Link text ending "– Qvalent Wiki – Confluence" or "– Operations – Confluence"</w:t>
            </w:r>
          </w:p>
        </w:tc>
        <w:tc>
          <w:tcPr>
            <w:tcW w:w="3271" w:type="dxa"/>
          </w:tcPr>
          <w:p>
            <w:pPr/>
            <w:r>
              <w:t xml:space="preserve">Page title only</w:t>
            </w:r>
          </w:p>
        </w:tc>
        <w:tc>
          <w:tcPr>
            <w:tcW w:w="2724" w:type="dxa"/>
          </w:tcPr>
          <w:p>
            <w:pPr/>
            <w:r>
              <w:t xml:space="preserve">Billing Guide · Useful Links; iLink Implementation Guide · Debugging</w:t>
            </w:r>
          </w:p>
        </w:tc>
      </w:tr>
    </w:tbl>
    <w:p>
      <w:pPr/>
      <w:r>
        <w:rPr>
          <w:b/>
        </w:rPr>
        <w:t xml:space="preserve">Structure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i/>
        </w:rPr>
        <w:t xml:space="preserve">Billing Revenue Search</w:t>
      </w:r>
      <w:r>
        <w:t xml:space="preserve"> steps appear three times in the Billing Guide (iLink, BankRec, PaymentsPlus), each worded differently. Write them once as a shared section and link to it.</w:t>
      </w:r>
    </w:p>
    <w:p>
      <w:pPr>
        <w:pStyle w:val="ListParagraph"/>
        <w:numPr>
          <w:ilvl w:val="0"/>
          <w:numId w:val="2"/>
        </w:numPr>
      </w:pPr>
      <w:r>
        <w:t xml:space="preserve">Abbreviations are used without being defined: UAT, PVT, CTG, QIP, OPS, STP, SAM status, CIS key, APCA, "Estab fee". Add a short glossary to the index page and link to it from each guide.</w:t>
      </w:r>
    </w:p>
    <w:p>
      <w:pPr>
        <w:pStyle w:val="ListParagraph"/>
        <w:numPr>
          <w:ilvl w:val="0"/>
          <w:numId w:val="2"/>
        </w:numPr>
      </w:pPr>
      <w:r>
        <w:t xml:space="preserve">BankRec Implementation Guide · Qvalent Product Specialist: the role column says "Software Developer". Use the role BAs should contact for, e.g. "BankRec Product Specialist".</w:t>
      </w:r>
    </w:p>
    <w:p>
      <w:pPr>
        <w:pStyle w:val="Heading2"/>
      </w:pPr>
      <w:r>
        <w:t xml:space="preserve">Priority 4 – Typos and wording</w:t>
      </w:r>
    </w:p>
    <w:p>
      <w:pPr/>
      <w:r>
        <w:t xml:space="preserve">These are quick fixes, grouped by 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45"/>
        <w:gridCol w:w="3365"/>
        <w:gridCol w:w="3550"/>
      </w:tblGrid>
      <w:tr>
        <w:trPr>
          <w:tblHeader/>
        </w:trPr>
        <w:tc>
          <w:tcPr>
            <w:tcW w:w="2445" w:type="dxa"/>
            <w:shd w:val="clear" w:color="auto" w:fill="F2F2F2"/>
          </w:tcPr>
          <w:p>
            <w:pPr/>
            <w:r>
              <w:t xml:space="preserve">Guide</w:t>
            </w:r>
          </w:p>
        </w:tc>
        <w:tc>
          <w:tcPr>
            <w:tcW w:w="3365" w:type="dxa"/>
            <w:shd w:val="clear" w:color="auto" w:fill="F2F2F2"/>
          </w:tcPr>
          <w:p>
            <w:pPr/>
            <w:r>
              <w:t xml:space="preserve">Current text</w:t>
            </w:r>
          </w:p>
        </w:tc>
        <w:tc>
          <w:tcPr>
            <w:tcW w:w="3550" w:type="dxa"/>
            <w:shd w:val="clear" w:color="auto" w:fill="F2F2F2"/>
          </w:tcPr>
          <w:p>
            <w:pPr/>
            <w:r>
              <w:t xml:space="preserve">Change to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request that the rejecting Sold Item into the Effective Pricing</w:t>
            </w:r>
          </w:p>
        </w:tc>
        <w:tc>
          <w:tcPr>
            <w:tcW w:w="3550" w:type="dxa"/>
          </w:tcPr>
          <w:p>
            <w:pPr/>
            <w:r>
              <w:t xml:space="preserve">request that the rejected Sold Item be loaded into Effective Pricing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the amount specific in the Change Request</w:t>
            </w:r>
          </w:p>
        </w:tc>
        <w:tc>
          <w:tcPr>
            <w:tcW w:w="3550" w:type="dxa"/>
          </w:tcPr>
          <w:p>
            <w:pPr/>
            <w:r>
              <w:t xml:space="preserve">the amount specified in the Change Request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Once-off Revenue will Bill at the start of the next month</w:t>
            </w:r>
          </w:p>
        </w:tc>
        <w:tc>
          <w:tcPr>
            <w:tcW w:w="3550" w:type="dxa"/>
          </w:tcPr>
          <w:p>
            <w:pPr/>
            <w:r>
              <w:t xml:space="preserve">Once-off revenue is billed at the start of the next month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When a Payments Plus facility is first setup … is setup correctly</w:t>
            </w:r>
          </w:p>
        </w:tc>
        <w:tc>
          <w:tcPr>
            <w:tcW w:w="3550" w:type="dxa"/>
          </w:tcPr>
          <w:p>
            <w:pPr/>
            <w:r>
              <w:t xml:space="preserve">set up (verb, two words) in both places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When setting up an New Zealand Payments Plus</w:t>
            </w:r>
          </w:p>
        </w:tc>
        <w:tc>
          <w:tcPr>
            <w:tcW w:w="3550" w:type="dxa"/>
          </w:tcPr>
          <w:p>
            <w:pPr/>
            <w:r>
              <w:t xml:space="preserve">When setting up a New Zealand PaymentsPlus facility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You can do this by going to do Billing page</w:t>
            </w:r>
          </w:p>
        </w:tc>
        <w:tc>
          <w:tcPr>
            <w:tcW w:w="3550" w:type="dxa"/>
          </w:tcPr>
          <w:p>
            <w:pPr/>
            <w:r>
              <w:t xml:space="preserve">You can do this on the Billing page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But this doesn't mean that you need to forget about checking it</w:t>
            </w:r>
          </w:p>
        </w:tc>
        <w:tc>
          <w:tcPr>
            <w:tcW w:w="3550" w:type="dxa"/>
          </w:tcPr>
          <w:p>
            <w:pPr/>
            <w:r>
              <w:t xml:space="preserve">However, you still need to check it was charged correctly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Implementation Billing Guide</w:t>
            </w:r>
          </w:p>
        </w:tc>
        <w:tc>
          <w:tcPr>
            <w:tcW w:w="3365" w:type="dxa"/>
          </w:tcPr>
          <w:p>
            <w:pPr/>
            <w:r>
              <w:t xml:space="preserve">Once the new month has rolled around</w:t>
            </w:r>
          </w:p>
        </w:tc>
        <w:tc>
          <w:tcPr>
            <w:tcW w:w="3550" w:type="dxa"/>
          </w:tcPr>
          <w:p>
            <w:pPr/>
            <w:r>
              <w:t xml:space="preserve">At the start of the following month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billing setup</w:t>
            </w:r>
          </w:p>
        </w:tc>
        <w:tc>
          <w:tcPr>
            <w:tcW w:w="3365" w:type="dxa"/>
          </w:tcPr>
          <w:p>
            <w:pPr/>
            <w:r>
              <w:t xml:space="preserve">If the Billing code hasn't been setup in ORMB</w:t>
            </w:r>
          </w:p>
        </w:tc>
        <w:tc>
          <w:tcPr>
            <w:tcW w:w="3550" w:type="dxa"/>
          </w:tcPr>
          <w:p>
            <w:pPr/>
            <w:r>
              <w:t xml:space="preserve">hasn't been set up in ORMB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billing setup</w:t>
            </w:r>
          </w:p>
        </w:tc>
        <w:tc>
          <w:tcPr>
            <w:tcW w:w="3365" w:type="dxa"/>
          </w:tcPr>
          <w:p>
            <w:pPr/>
            <w:r>
              <w:t xml:space="preserve">Note: NZ Sold Product IDs must have an NZ prefix</w:t>
            </w:r>
          </w:p>
        </w:tc>
        <w:tc>
          <w:tcPr>
            <w:tcW w:w="3550" w:type="dxa"/>
          </w:tcPr>
          <w:p>
            <w:pPr/>
            <w:r>
              <w:t xml:space="preserve">Note: NZ Sold Product IDs must start with NZIL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BankRec Implementation Guide</w:t>
            </w:r>
          </w:p>
        </w:tc>
        <w:tc>
          <w:tcPr>
            <w:tcW w:w="3365" w:type="dxa"/>
          </w:tcPr>
          <w:p>
            <w:pPr/>
            <w:r>
              <w:t xml:space="preserve">Verify's successful ingestion</w:t>
            </w:r>
          </w:p>
        </w:tc>
        <w:tc>
          <w:tcPr>
            <w:tcW w:w="3550" w:type="dxa"/>
          </w:tcPr>
          <w:p>
            <w:pPr/>
            <w:r>
              <w:t xml:space="preserve">Verifies successful ingestion (UAT and PVT)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BankRec Implementation Guide</w:t>
            </w:r>
          </w:p>
        </w:tc>
        <w:tc>
          <w:tcPr>
            <w:tcW w:w="3365" w:type="dxa"/>
          </w:tcPr>
          <w:p>
            <w:pPr/>
            <w:r>
              <w:t xml:space="preserve">Configure the Routing ICIS rules</w:t>
            </w:r>
          </w:p>
        </w:tc>
        <w:tc>
          <w:tcPr>
            <w:tcW w:w="3550" w:type="dxa"/>
          </w:tcPr>
          <w:p>
            <w:pPr/>
            <w:r>
              <w:t xml:space="preserve">Configure the ICIS routing rules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BankRec Implementation Guide</w:t>
            </w:r>
          </w:p>
        </w:tc>
        <w:tc>
          <w:tcPr>
            <w:tcW w:w="3365" w:type="dxa"/>
          </w:tcPr>
          <w:p>
            <w:pPr/>
            <w:r>
              <w:t xml:space="preserve">You have been provided the billing details</w:t>
            </w:r>
          </w:p>
        </w:tc>
        <w:tc>
          <w:tcPr>
            <w:tcW w:w="3550" w:type="dxa"/>
          </w:tcPr>
          <w:p>
            <w:pPr/>
            <w:r>
              <w:t xml:space="preserve">You have received the billing details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ICIS Common Routing Rules</w:t>
            </w:r>
          </w:p>
        </w:tc>
        <w:tc>
          <w:tcPr>
            <w:tcW w:w="3365" w:type="dxa"/>
          </w:tcPr>
          <w:p>
            <w:pPr/>
            <w:r>
              <w:t xml:space="preserve">Goto Processing</w:t>
            </w:r>
          </w:p>
        </w:tc>
        <w:tc>
          <w:tcPr>
            <w:tcW w:w="3550" w:type="dxa"/>
          </w:tcPr>
          <w:p>
            <w:pPr/>
            <w:r>
              <w:t xml:space="preserve">Go to Processing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ICIS Common Routing Rules</w:t>
            </w:r>
          </w:p>
        </w:tc>
        <w:tc>
          <w:tcPr>
            <w:tcW w:w="3365" w:type="dxa"/>
          </w:tcPr>
          <w:p>
            <w:pPr/>
            <w:r>
              <w:t xml:space="preserve">Add the follow parameters</w:t>
            </w:r>
          </w:p>
        </w:tc>
        <w:tc>
          <w:tcPr>
            <w:tcW w:w="3550" w:type="dxa"/>
          </w:tcPr>
          <w:p>
            <w:pPr/>
            <w:r>
              <w:t xml:space="preserve">Add the following parameters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ICIS Common Routing Rules</w:t>
            </w:r>
          </w:p>
        </w:tc>
        <w:tc>
          <w:tcPr>
            <w:tcW w:w="3365" w:type="dxa"/>
          </w:tcPr>
          <w:p>
            <w:pPr/>
            <w:r>
              <w:t xml:space="preserve">customers iLink</w:t>
            </w:r>
          </w:p>
        </w:tc>
        <w:tc>
          <w:tcPr>
            <w:tcW w:w="3550" w:type="dxa"/>
          </w:tcPr>
          <w:p>
            <w:pPr/>
            <w:r>
              <w:t xml:space="preserve">customer's iLink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ICIS Common Routing Rules</w:t>
            </w:r>
          </w:p>
        </w:tc>
        <w:tc>
          <w:tcPr>
            <w:tcW w:w="3365" w:type="dxa"/>
          </w:tcPr>
          <w:p>
            <w:pPr/>
            <w:r>
              <w:t xml:space="preserve">configure the Parameter's</w:t>
            </w:r>
          </w:p>
        </w:tc>
        <w:tc>
          <w:tcPr>
            <w:tcW w:w="3550" w:type="dxa"/>
          </w:tcPr>
          <w:p>
            <w:pPr/>
            <w:r>
              <w:t xml:space="preserve">configure the parameters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SFTP Reference Guide</w:t>
            </w:r>
          </w:p>
        </w:tc>
        <w:tc>
          <w:tcPr>
            <w:tcW w:w="3365" w:type="dxa"/>
          </w:tcPr>
          <w:p>
            <w:pPr/>
            <w:r>
              <w:t xml:space="preserve">an email notification email will be sent</w:t>
            </w:r>
          </w:p>
        </w:tc>
        <w:tc>
          <w:tcPr>
            <w:tcW w:w="3550" w:type="dxa"/>
          </w:tcPr>
          <w:p>
            <w:pPr/>
            <w:r>
              <w:t xml:space="preserve">a notification email will be sent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SFTP Reference Guide</w:t>
            </w:r>
          </w:p>
        </w:tc>
        <w:tc>
          <w:tcPr>
            <w:tcW w:w="3365" w:type="dxa"/>
          </w:tcPr>
          <w:p>
            <w:pPr/>
            <w:r>
              <w:t xml:space="preserve">cannot be Decoded</w:t>
            </w:r>
          </w:p>
        </w:tc>
        <w:tc>
          <w:tcPr>
            <w:tcW w:w="3550" w:type="dxa"/>
          </w:tcPr>
          <w:p>
            <w:pPr/>
            <w:r>
              <w:t xml:space="preserve">cannot be decoded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SFTP Reference Guide</w:t>
            </w:r>
          </w:p>
        </w:tc>
        <w:tc>
          <w:tcPr>
            <w:tcW w:w="3365" w:type="dxa"/>
          </w:tcPr>
          <w:p>
            <w:pPr/>
            <w:r>
              <w:t xml:space="preserve">(eg Decoding Failed, Possible Duplicate, etc)</w:t>
            </w:r>
          </w:p>
        </w:tc>
        <w:tc>
          <w:tcPr>
            <w:tcW w:w="3550" w:type="dxa"/>
          </w:tcPr>
          <w:p>
            <w:pPr/>
            <w:r>
              <w:t xml:space="preserve">(e.g. Decoding Failed or Possible Duplicate)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Implementation Guide</w:t>
            </w:r>
          </w:p>
        </w:tc>
        <w:tc>
          <w:tcPr>
            <w:tcW w:w="3365" w:type="dxa"/>
          </w:tcPr>
          <w:p>
            <w:pPr/>
            <w:r>
              <w:t xml:space="preserve">SFTP Client (SFTP Actice Push)</w:t>
            </w:r>
          </w:p>
        </w:tc>
        <w:tc>
          <w:tcPr>
            <w:tcW w:w="3550" w:type="dxa"/>
          </w:tcPr>
          <w:p>
            <w:pPr/>
            <w:r>
              <w:t xml:space="preserve">SFTP Client (SFTP Active Push), in the contents and the Debugging table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Implementation Guide</w:t>
            </w:r>
          </w:p>
        </w:tc>
        <w:tc>
          <w:tcPr>
            <w:tcW w:w="3365" w:type="dxa"/>
          </w:tcPr>
          <w:p>
            <w:pPr/>
            <w:r>
              <w:t xml:space="preserve">It is recommended that the following has been complete</w:t>
            </w:r>
          </w:p>
        </w:tc>
        <w:tc>
          <w:tcPr>
            <w:tcW w:w="3550" w:type="dxa"/>
          </w:tcPr>
          <w:p>
            <w:pPr/>
            <w:r>
              <w:t xml:space="preserve">It is recommended that the following has been completed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Implementation Guide</w:t>
            </w:r>
          </w:p>
        </w:tc>
        <w:tc>
          <w:tcPr>
            <w:tcW w:w="3365" w:type="dxa"/>
          </w:tcPr>
          <w:p>
            <w:pPr/>
            <w:r>
              <w:t xml:space="preserve">ie. dont exist anywhere else</w:t>
            </w:r>
          </w:p>
        </w:tc>
        <w:tc>
          <w:tcPr>
            <w:tcW w:w="3550" w:type="dxa"/>
          </w:tcPr>
          <w:p>
            <w:pPr/>
            <w:r>
              <w:t xml:space="preserve">i.e. don't exist anywhere else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Implementation Guide</w:t>
            </w:r>
          </w:p>
        </w:tc>
        <w:tc>
          <w:tcPr>
            <w:tcW w:w="3365" w:type="dxa"/>
          </w:tcPr>
          <w:p>
            <w:pPr/>
            <w:r>
              <w:t xml:space="preserve">Nominate authoriser: Dont select</w:t>
            </w:r>
          </w:p>
        </w:tc>
        <w:tc>
          <w:tcPr>
            <w:tcW w:w="3550" w:type="dxa"/>
          </w:tcPr>
          <w:p>
            <w:pPr/>
            <w:r>
              <w:t xml:space="preserve">Nominate authoriser: Don't select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Implementation Guide</w:t>
            </w:r>
          </w:p>
        </w:tc>
        <w:tc>
          <w:tcPr>
            <w:tcW w:w="3365" w:type="dxa"/>
          </w:tcPr>
          <w:p>
            <w:pPr/>
            <w:r>
              <w:t xml:space="preserve">SFTP VS REST API</w:t>
            </w:r>
          </w:p>
        </w:tc>
        <w:tc>
          <w:tcPr>
            <w:tcW w:w="3550" w:type="dxa"/>
          </w:tcPr>
          <w:p>
            <w:pPr/>
            <w:r>
              <w:t xml:space="preserve">SFTP vs REST API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iLink Implementation Guide</w:t>
            </w:r>
          </w:p>
        </w:tc>
        <w:tc>
          <w:tcPr>
            <w:tcW w:w="3365" w:type="dxa"/>
          </w:tcPr>
          <w:p>
            <w:pPr/>
            <w:r>
              <w:t xml:space="preserve">Connectivity type: SFTP (batch) or REST/SOAP (real-time)</w:t>
            </w:r>
          </w:p>
        </w:tc>
        <w:tc>
          <w:tcPr>
            <w:tcW w:w="3550" w:type="dxa"/>
          </w:tcPr>
          <w:p>
            <w:pPr/>
            <w:r>
              <w:t xml:space="preserve">Connectivity type: SFTP or web-based API (REST or SOAP). Don't describe REST as real-time; it is still a file transfer API.</w:t>
            </w:r>
          </w:p>
        </w:tc>
      </w:tr>
    </w:tbl>
    <w:p>
      <w:pPr>
        <w:pStyle w:val="Heading2"/>
      </w:pPr>
      <w:r>
        <w:t xml:space="preserve">Confirm before editing</w:t>
      </w:r>
    </w:p>
    <w:p>
      <w:pPr/>
      <w:r>
        <w:t xml:space="preserve">The public docs don't cover these points, so check them with the product SME before changing the guides.</w:t>
      </w:r>
    </w:p>
    <w:p>
      <w:pPr>
        <w:pStyle w:val="ListParagraph"/>
        <w:numPr>
          <w:ilvl w:val="0"/>
          <w:numId w:val="3"/>
        </w:numPr>
      </w:pPr>
      <w:r>
        <w:t xml:space="preserve">☐ ICIS rule order: does a rule higher in the group run first? This decides fix 1.3.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Reconcile</w:t>
      </w:r>
      <w:r>
        <w:t xml:space="preserve"> checkbox on expected once-off revenue: ticked or unticked when revenue is expected (fix 1.5).</w:t>
      </w:r>
    </w:p>
    <w:p>
      <w:pPr>
        <w:pStyle w:val="ListParagraph"/>
        <w:numPr>
          <w:ilvl w:val="0"/>
          <w:numId w:val="3"/>
        </w:numPr>
      </w:pPr>
      <w:r>
        <w:t xml:space="preserve">☐ Which retention period applies where: 100, 90 or 30 days (fix 1.6).</w:t>
      </w:r>
    </w:p>
    <w:p>
      <w:pPr>
        <w:pStyle w:val="ListParagraph"/>
        <w:numPr>
          <w:ilvl w:val="0"/>
          <w:numId w:val="3"/>
        </w:numPr>
      </w:pPr>
      <w:r>
        <w:t xml:space="preserve">☐ iLink establishment fee: are QWIBSSES (AU) and QWNZSSES (NZ) still the sold item codes, and is $2,500 still the default?</w:t>
      </w:r>
    </w:p>
    <w:p>
      <w:pPr>
        <w:pStyle w:val="ListParagraph"/>
        <w:numPr>
          <w:ilvl w:val="0"/>
          <w:numId w:val="3"/>
        </w:numPr>
      </w:pPr>
      <w:r>
        <w:t xml:space="preserve">☐ Are monthly fees still calculated on the 15th and charged at month end?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4"/>
        </w:numPr>
      </w:pPr>
      <w:hyperlink r:id="rId3" w:history="1">
        <w:r>
          <w:rPr>
            <w:rStyle w:val="Hyperlink"/>
          </w:rPr>
          <w:t xml:space="preserve">iLink documentation home</w:t>
        </w:r>
      </w:hyperlink>
    </w:p>
    <w:p>
      <w:pPr>
        <w:pStyle w:val="ListParagraph"/>
        <w:numPr>
          <w:ilvl w:val="0"/>
          <w:numId w:val="4"/>
        </w:numPr>
      </w:pPr>
      <w:hyperlink r:id="rId5" w:history="1">
        <w:r>
          <w:rPr>
            <w:rStyle w:val="Hyperlink"/>
          </w:rPr>
          <w:t xml:space="preserve">iLink SFTP reference</w:t>
        </w:r>
      </w:hyperlink>
    </w:p>
    <w:p>
      <w:pPr>
        <w:pStyle w:val="ListParagraph"/>
        <w:numPr>
          <w:ilvl w:val="0"/>
          <w:numId w:val="4"/>
        </w:numPr>
      </w:pPr>
      <w:hyperlink r:id="rId6" w:history="1">
        <w:r>
          <w:rPr>
            <w:rStyle w:val="Hyperlink"/>
          </w:rPr>
          <w:t xml:space="preserve">iLink REST file transfer API reference</w:t>
        </w:r>
      </w:hyperlink>
    </w:p>
    <w:p>
      <w:pPr>
        <w:pStyle w:val="ListParagraph"/>
        <w:numPr>
          <w:ilvl w:val="0"/>
          <w:numId w:val="4"/>
        </w:numPr>
      </w:pPr>
      <w:hyperlink r:id="rId4" w:history="1">
        <w:r>
          <w:rPr>
            <w:rStyle w:val="Hyperlink"/>
          </w:rPr>
          <w:t xml:space="preserve">BankRec documentation home</w:t>
        </w:r>
      </w:hyperlink>
    </w:p>
    <w:p>
      <w:pPr>
        <w:pStyle w:val="ListParagraph"/>
        <w:numPr>
          <w:ilvl w:val="0"/>
          <w:numId w:val="4"/>
        </w:numPr>
      </w:pPr>
      <w:hyperlink r:id="rId7" w:history="1">
        <w:r>
          <w:rPr>
            <w:rStyle w:val="Hyperlink"/>
          </w:rPr>
          <w:t xml:space="preserve">BankRec statement enrichment</w:t>
        </w:r>
      </w:hyperlink>
    </w:p>
    <w:p>
      <w:pPr>
        <w:pStyle w:val="ListParagraph"/>
        <w:numPr>
          <w:ilvl w:val="0"/>
          <w:numId w:val="4"/>
        </w:numPr>
      </w:pPr>
      <w:hyperlink r:id="rId8" w:history="1">
        <w:r>
          <w:rPr>
            <w:rStyle w:val="Hyperlink"/>
          </w:rPr>
          <w:t xml:space="preserve">BankRec setting up your company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ilink.westpac.com.au/docs" TargetMode="External"/><Relationship Id="rId4" Type="http://schemas.openxmlformats.org/officeDocument/2006/relationships/hyperlink" Target="https://bankrec.westpac.com.au/docs/" TargetMode="External"/><Relationship Id="rId5" Type="http://schemas.openxmlformats.org/officeDocument/2006/relationships/hyperlink" Target="https://ilink.westpac.com.au/docs/sftp/" TargetMode="External"/><Relationship Id="rId6" Type="http://schemas.openxmlformats.org/officeDocument/2006/relationships/hyperlink" Target="https://ilink.westpac.com.au/docs/rest" TargetMode="External"/><Relationship Id="rId7" Type="http://schemas.openxmlformats.org/officeDocument/2006/relationships/hyperlink" Target="https://bankrec.westpac.com.au/docs/enrichment/" TargetMode="External"/><Relationship Id="rId8" Type="http://schemas.openxmlformats.org/officeDocument/2006/relationships/hyperlink" Target="https://bankrec.westpac.com.au/docs/user-guides/setting-up-your-company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 Implementation Guides – Review &amp; Edits</dc:title>
  <dc:description>Claude Docs node/c113ac19-0a3d@7 docx-w7</dc:description>
  <cp:revision>7</cp:revision>
</cp:coreProperties>
</file>