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finding transactions and accessing reports in QuickTerminal.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QUICKTERMINAL?</w:t>
      </w:r>
    </w:p>
    <w:p>
      <w:pPr>
        <w:keepLines/>
        <w:spacing w:after="480" w:before="0" w:line="276"/>
        <w:ind w:right="1200"/>
      </w:pPr>
      <w:r>
        <w:rPr>
          <w:rFonts w:ascii="Arial" w:cs="Arial" w:eastAsia="Arial" w:hAnsi="Arial"/>
          <w:color w:val="161619"/>
          <w:sz w:val="23"/>
          <w:szCs w:val="23"/>
        </w:rPr>
        <w:t xml:space="preserve">QuickTerminal is QuickStream’s secure online portal for authorised users to take payments, manage transactions and access reports.</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706F7C"/>
                <w:sz w:val="20"/>
                <w:szCs w:val="20"/>
              </w:rPr>
              <w:t xml:space="preserve">Screens and workflows may change as QuickTerminal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QuickTerminal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14</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16</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17</w:t>
        </w:r>
      </w:hyperlink>
    </w:p>
    <w:p>
      <w:pPr>
        <w:keepNext/>
        <w:keepLines/>
        <w:pageBreakBefore/>
        <w:spacing w:after="200" w:before="0" w:line="276"/>
      </w:pPr>
      <w:r>
        <w:drawing>
          <wp:inline distT="0" distB="0" distL="0" distR="0">
            <wp:extent cx="361950" cy="361950"/>
            <wp:effectExtent t="0" r="0" b="0" l="0"/>
            <wp:docPr id="21"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QuickTerminal.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p>
    <w:p>
      <w:pPr>
        <w:keepNext w:val="false"/>
        <w:keepLines/>
        <w:spacing w:after="70" w:before="0" w:line="276"/>
      </w:pPr>
      <w:r>
        <w:rPr>
          <w:rFonts w:ascii="Arial" w:cs="Arial" w:eastAsia="Arial" w:hAnsi="Arial"/>
          <w:color w:val="161619"/>
          <w:sz w:val="21"/>
          <w:szCs w:val="21"/>
        </w:rPr>
        <w:t xml:space="preserve">Check the Business, or start typing to choose a different one. The payment settles to this business.</w:t>
      </w:r>
    </w:p>
    <w:p>
      <w:pPr>
        <w:keepNext w:val="false"/>
        <w:keepLines/>
        <w:spacing w:after="70" w:before="0" w:line="276"/>
      </w:pPr>
      <w:r>
        <w:rPr>
          <w:rFonts w:ascii="Arial" w:cs="Arial" w:eastAsia="Arial" w:hAnsi="Arial"/>
          <w:color w:val="161619"/>
          <w:sz w:val="21"/>
          <w:szCs w:val="21"/>
        </w:rPr>
        <w:t xml:space="preserve">Complete the other fields marked * (Customer Reference Number, Payment Amount, Credit Card Number and Expiry Date). The remaining fields are optional.</w:t>
      </w:r>
    </w:p>
    <w:p>
      <w:pPr>
        <w:keepNext/>
        <w:keepLines/>
        <w:spacing w:after="70" w:before="0" w:line="276"/>
      </w:pPr>
      <w:r>
        <w:rPr>
          <w:rFonts w:ascii="Arial" w:cs="Arial" w:eastAsia="Arial" w:hAnsi="Arial"/>
          <w:color w:val="161619"/>
          <w:sz w:val="21"/>
          <w:szCs w:val="21"/>
        </w:rPr>
        <w:t xml:space="preserve">Select Next.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customer reference and payment amount carefully before continuing.</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76600"/>
            <wp:effectExtent t="0" r="0" b="0" l="0"/>
            <wp:docPr id="22"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2766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81275"/>
            <wp:effectExtent t="0" r="0" b="0" l="0"/>
            <wp:docPr id="23"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5812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362325"/>
            <wp:effectExtent t="0" r="0" b="0" l="0"/>
            <wp:docPr id="24"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33623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to see whether the payment was approved or declined. Email or print the receipt if required, or select Process Another Transaction.</w:t>
      </w:r>
    </w:p>
    <w:p>
      <w:pPr>
        <w:keepLines/>
        <w:spacing w:after="120" w:before="0" w:line="276"/>
      </w:pPr>
      <w:r>
        <w:rPr>
          <w:rFonts w:ascii="Arial" w:cs="Arial" w:eastAsia="Arial" w:hAnsi="Arial"/>
          <w:color w:val="706F7C"/>
          <w:sz w:val="19"/>
          <w:szCs w:val="19"/>
        </w:rPr>
        <w:t xml:space="preserve">Approved is the processing result. Settlement to your account is separate and appears in your settlement reports.</w:t>
      </w:r>
    </w:p>
    <w:p>
      <w:pPr>
        <w:keepNext/>
        <w:keepLines/>
        <w:pageBreakBefore/>
        <w:spacing w:after="200" w:before="0" w:line="276"/>
      </w:pPr>
      <w:r>
        <w:drawing>
          <wp:inline distT="0" distB="0" distL="0" distR="0">
            <wp:extent cx="361950" cy="361950"/>
            <wp:effectExtent t="0" r="0" b="0" l="0"/>
            <wp:docPr id="25"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p>
    <w:p>
      <w:pPr>
        <w:keepNext w:val="false"/>
        <w:keepLines/>
        <w:spacing w:after="70" w:before="0" w:line="276"/>
      </w:pPr>
      <w:r>
        <w:rPr>
          <w:rFonts w:ascii="Arial" w:cs="Arial" w:eastAsia="Arial" w:hAnsi="Arial"/>
          <w:color w:val="161619"/>
          <w:sz w:val="21"/>
          <w:szCs w:val="21"/>
        </w:rPr>
        <w:t xml:space="preserve">Check the Direct Debit Account shown. If you have more than one, choose the account the payment should settle to.</w:t>
      </w:r>
    </w:p>
    <w:p>
      <w:pPr>
        <w:keepNext w:val="false"/>
        <w:keepLines/>
        <w:spacing w:after="70" w:before="0" w:line="276"/>
      </w:pPr>
      <w:r>
        <w:rPr>
          <w:rFonts w:ascii="Arial" w:cs="Arial" w:eastAsia="Arial" w:hAnsi="Arial"/>
          <w:color w:val="161619"/>
          <w:sz w:val="21"/>
          <w:szCs w:val="21"/>
        </w:rPr>
        <w:t xml:space="preserve">Complete the fields marked * (Customer Reference Number, Payment Amount, BSB Number, Account Number and Account Name). Comment is optional.</w:t>
      </w:r>
    </w:p>
    <w:p>
      <w:pPr>
        <w:keepNext w:val="false"/>
        <w:keepLines/>
        <w:spacing w:after="70" w:before="0" w:line="276"/>
      </w:pPr>
      <w:r>
        <w:rPr>
          <w:rFonts w:ascii="Arial" w:cs="Arial" w:eastAsia="Arial" w:hAnsi="Arial"/>
          <w:color w:val="161619"/>
          <w:sz w:val="21"/>
          <w:szCs w:val="21"/>
        </w:rPr>
        <w:t xml:space="preserve">Tick the Direct Debit Request box to confirm that a Direct Debit Request has been completed for the customer and you have the authority to debit the account.</w:t>
      </w:r>
    </w:p>
    <w:p>
      <w:pPr>
        <w:keepNext/>
        <w:keepLines/>
        <w:spacing w:after="70" w:before="0" w:line="276"/>
      </w:pPr>
      <w:r>
        <w:rPr>
          <w:rFonts w:ascii="Arial" w:cs="Arial" w:eastAsia="Arial" w:hAnsi="Arial"/>
          <w:color w:val="161619"/>
          <w:sz w:val="21"/>
          <w:szCs w:val="21"/>
        </w:rPr>
        <w:t xml:space="preserve">Select Next.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customer reference, BSB and account number carefully before continuing.</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90800"/>
            <wp:effectExtent t="0" r="0" b="0" l="0"/>
            <wp:docPr id="26" name="bank_entry" descr="Payment Details screen for a bank account payment" title="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5908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047875"/>
            <wp:effectExtent t="0" r="0" b="0" l="0"/>
            <wp:docPr id="27"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20478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457575"/>
            <wp:effectExtent t="0" r="0" b="0" l="0"/>
            <wp:docPr id="28"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34575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and note the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Initial approval does not guarantee the payment will not be returned. A status of Approved* means the payment may still be declined or returned by the customer’s bank within 4 banking days. Follow your organisation’s reconciliation procedures to identify and handle bank returns.</w:t>
      </w:r>
    </w:p>
    <w:p>
      <w:pPr>
        <w:keepNext/>
        <w:keepLines/>
        <w:pageBreakBefore/>
        <w:spacing w:after="200" w:before="0" w:line="276"/>
      </w:pPr>
      <w:r>
        <w:drawing>
          <wp:inline distT="0" distB="0" distL="0" distR="0">
            <wp:extent cx="361950" cy="361950"/>
            <wp:effectExtent t="0" r="0" b="0" l="0"/>
            <wp:docPr id="29"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that the customer approves before it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 Fields marked * are required.</w:t>
      </w:r>
    </w:p>
    <w:p>
      <w:pPr>
        <w:keepNext w:val="false"/>
        <w:keepLines/>
        <w:spacing w:after="70" w:before="0" w:line="276"/>
      </w:pPr>
      <w:r>
        <w:rPr>
          <w:rFonts w:ascii="Arial" w:cs="Arial" w:eastAsia="Arial" w:hAnsi="Arial"/>
          <w:color w:val="161619"/>
          <w:sz w:val="21"/>
          <w:szCs w:val="21"/>
        </w:rPr>
        <w:t xml:space="preserve">Enter the Payer Name and Payer ID (CRN). Payer Type is set to Individual; choose Organisation if needed. Payer Reference is optional.</w:t>
      </w:r>
    </w:p>
    <w:p>
      <w:pPr>
        <w:keepNext w:val="false"/>
        <w:keepLines/>
        <w:spacing w:after="70" w:before="0" w:line="276"/>
      </w:pPr>
      <w:r>
        <w:rPr>
          <w:rFonts w:ascii="Arial" w:cs="Arial" w:eastAsia="Arial" w:hAnsi="Arial"/>
          <w:color w:val="161619"/>
          <w:sz w:val="21"/>
          <w:szCs w:val="21"/>
        </w:rPr>
        <w:t xml:space="preserve">Choose PayID or BSB/Account Number. For a PayID, enter the PayID and choose its type.</w:t>
      </w:r>
    </w:p>
    <w:p>
      <w:pPr>
        <w:keepNext w:val="false"/>
        <w:keepLines/>
        <w:spacing w:after="70" w:before="0" w:line="276"/>
      </w:pPr>
      <w:r>
        <w:rPr>
          <w:rFonts w:ascii="Arial" w:cs="Arial" w:eastAsia="Arial" w:hAnsi="Arial"/>
          <w:color w:val="161619"/>
          <w:sz w:val="21"/>
          <w:szCs w:val="21"/>
        </w:rPr>
        <w:t xml:space="preserve">Choose the Business. Payee Reference is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76500"/>
            <wp:effectExtent t="0" r="0" b="0" l="0"/>
            <wp:docPr id="30" name="payto_party" descr="Take a PayTo Payment, Party Details screen" title="Take a PayTo Payment, Party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4765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choose the Purpose and enter a Description. The customer sees the Description on the agreement. End to End ID and Remittance Information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28850"/>
            <wp:effectExtent t="0" r="0" b="0" l="0"/>
            <wp:docPr id="31" name="payto_payment" descr="Take a PayTo Payment, Payment Details screen" title="Take a PayTo Payment,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57750" cy="22288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SUBMIT</w:t>
      </w:r>
    </w:p>
    <w:p>
      <w:pPr>
        <w:keepNext/>
        <w:keepLines/>
        <w:spacing w:after="70" w:before="0" w:line="276"/>
      </w:pPr>
      <w:r>
        <w:rPr>
          <w:rFonts w:ascii="Arial" w:cs="Arial" w:eastAsia="Arial" w:hAnsi="Arial"/>
          <w:color w:val="161619"/>
          <w:sz w:val="21"/>
          <w:szCs w:val="21"/>
        </w:rPr>
        <w:t xml:space="preserve">Check the details, then select Confirm to submit the payment. This creates a one-time PayTo agreement and sends it to the customer for approval in their banking app.</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152650"/>
            <wp:effectExtent t="0" r="0" b="0" l="0"/>
            <wp:docPr id="32" name="payto_review" descr="Take a PayTo Payment, Review and Submit screen" title="Take a PayTo Payment, Review and Submi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15265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43025"/>
            <wp:effectExtent t="0" r="0" b="0" l="0"/>
            <wp:docPr id="33" name="payto_approved" descr="Transaction Details screen for an approved PayTo payment" title="Transaction Details screen for an approv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13430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an approved PayTo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33500"/>
            <wp:effectExtent t="0" r="0" b="0" l="0"/>
            <wp:docPr id="34" name="payto_details" descr="Transaction Details screen for a declined PayTo payment" title="Transaction Details screen for a declin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57750" cy="13335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declined PayTo payment.</w:t>
      </w:r>
    </w:p>
    <w:p>
      <w:pPr>
        <w:keepLines/>
        <w:spacing w:after="240" w:before="120" w:line="276"/>
      </w:pPr>
      <w:r>
        <w:rPr>
          <w:rFonts w:ascii="Arial" w:cs="Arial" w:eastAsia="Arial" w:hAnsi="Arial"/>
          <w:color w:val="161619"/>
          <w:sz w:val="21"/>
          <w:szCs w:val="21"/>
        </w:rPr>
        <w:t xml:space="preserve">Check the Status and Response. The payment stays pending until the customer approves the PayTo agreement, then it is attempted and the Status shows Approved or Declined. If the customer declines or does not respond within the approval period (15 minutes or less), the agreement is cancelled and no payment is taken.</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Agreement approval, the payment attempt, the outcome and settlement are separate. Approval does not guarantee success. Check the Status before telling the customer it is complete.</w:t>
      </w:r>
      <w:r>
        <w:rPr>
          <w:rFonts w:ascii="Arial" w:cs="Arial" w:eastAsia="Arial" w:hAnsi="Arial"/>
          <w:color w:val="161619"/>
          <w:sz w:val="20"/>
          <w:szCs w:val="20"/>
        </w:rPr>
        <w:t xml:space="preserve"> Settlement reports may show it once it settles.</w:t>
      </w:r>
    </w:p>
    <w:p>
      <w:pPr>
        <w:keepNext/>
        <w:keepLines/>
        <w:pageBreakBefore/>
        <w:spacing w:after="200" w:before="0" w:line="276"/>
      </w:pPr>
      <w:r>
        <w:drawing>
          <wp:inline distT="0" distB="0" distL="0" distR="0">
            <wp:extent cx="361950" cy="361950"/>
            <wp:effectExtent t="0" r="0" b="0" l="0"/>
            <wp:docPr id="35"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 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p>
    <w:p>
      <w:pPr>
        <w:keepNext/>
        <w:keepLines/>
        <w:spacing w:after="70" w:before="0" w:line="276"/>
      </w:pPr>
      <w:r>
        <w:rPr>
          <w:rFonts w:ascii="Arial" w:cs="Arial" w:eastAsia="Arial" w:hAnsi="Arial"/>
          <w:color w:val="161619"/>
          <w:sz w:val="21"/>
          <w:szCs w:val="21"/>
        </w:rPr>
        <w:t xml:space="preserve">Choose the Business, then select Display to see the 20 most recent transactions.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295400"/>
            <wp:effectExtent t="0" r="0" b="0" l="0"/>
            <wp:docPr id="36"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12954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Under Find your transaction by, choose Settlement Date, Reference Number or Account Details, then enter the details. Reference Number accepts a customer reference, payment reference or receipt number. Account Details accepts a full or partial card number, or a BSB and account number.</w:t>
      </w:r>
    </w:p>
    <w:p>
      <w:pPr>
        <w:keepNext w:val="false"/>
        <w:keepLines/>
        <w:spacing w:after="70" w:before="0" w:line="276"/>
      </w:pPr>
      <w:r>
        <w:rPr>
          <w:rFonts w:ascii="Arial" w:cs="Arial" w:eastAsia="Arial" w:hAnsi="Arial"/>
          <w:color w:val="161619"/>
          <w:sz w:val="21"/>
          <w:szCs w:val="21"/>
        </w:rPr>
        <w:t xml:space="preserve">Use Advanced Search to narrow the results by Business, Status, Transaction Source, Order Type or Amount.</w:t>
      </w:r>
    </w:p>
    <w:p>
      <w:pPr>
        <w:keepNext/>
        <w:keepLines/>
        <w:spacing w:after="70" w:before="0" w:line="276"/>
      </w:pPr>
      <w:r>
        <w:rPr>
          <w:rFonts w:ascii="Arial" w:cs="Arial" w:eastAsia="Arial" w:hAnsi="Arial"/>
          <w:color w:val="161619"/>
          <w:sz w:val="21"/>
          <w:szCs w:val="21"/>
        </w:rPr>
        <w:t xml:space="preserve">Select Search.</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38400"/>
            <wp:effectExtent t="0" r="0" b="0" l="0"/>
            <wp:docPr id="37" name="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7750" cy="24384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857250"/>
            <wp:effectExtent t="0" r="0" b="0" l="0"/>
            <wp:docPr id="38" name="search_results" descr="Search Results table" title="Search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85725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Results show the receipt number, customer reference number, payment reference, transaction source, transaction time, status and amount. Refunds appear as negative amounts.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09925"/>
            <wp:effectExtent t="0" r="0" b="0" l="0"/>
            <wp:docPr id="39"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32099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credit card transaction.</w:t>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and your user permissions:</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Back to Search.</w:t>
      </w:r>
    </w:p>
    <w:p>
      <w:pPr>
        <w:keepLines/>
        <w:spacing w:after="40" w:before="0" w:line="276"/>
        <w:ind w:left="360" w:hanging="240"/>
      </w:pPr>
      <w:r>
        <w:rPr>
          <w:rFonts w:ascii="Arial" w:cs="Arial" w:eastAsia="Arial" w:hAnsi="Arial"/>
          <w:color w:val="161619"/>
          <w:sz w:val="20"/>
          <w:szCs w:val="20"/>
        </w:rPr>
        <w:t xml:space="preserve">•  Refund this transaction or Void this transaction, whichever is shown. See Refund or void a transaction.</w:t>
      </w:r>
    </w:p>
    <w:p>
      <w:pPr>
        <w:keepNext/>
        <w:keepLines/>
        <w:pageBreakBefore/>
        <w:spacing w:after="200" w:before="0" w:line="276"/>
      </w:pPr>
      <w:r>
        <w:drawing>
          <wp:inline distT="0" distB="0" distL="0" distR="0">
            <wp:extent cx="361950" cy="361950"/>
            <wp:effectExtent t="0" r="0" b="0" l="0"/>
            <wp:docPr id="40"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p>
    <w:tbl>
      <w:tblPr>
        <w:tblW w:type="dxa" w:w="9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300"/>
        <w:gridCol w:w="4500"/>
      </w:tblGrid>
      <w:tr>
        <w:trPr>
          <w:cantSplit/>
        </w:trPr>
        <w:tc>
          <w:tcPr>
            <w:tcW w:type="dxa" w:w="4500"/>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p>
          <w:p>
            <w:pPr>
              <w:keepLines/>
              <w:spacing w:after="40" w:before="0" w:line="276"/>
            </w:pPr>
            <w:r>
              <w:rPr>
                <w:rFonts w:ascii="Arial" w:cs="Arial" w:eastAsia="Arial" w:hAnsi="Arial"/>
                <w:color w:val="706F7C"/>
                <w:sz w:val="18"/>
                <w:szCs w:val="18"/>
              </w:rPr>
              <w:t xml:space="preserve">•  Card: before the bank cut-off time.</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4500"/>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separate transaction. It does not cancel the original payment.</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4 banking days after the original payment date.</w:t>
            </w:r>
          </w:p>
          <w:p>
            <w:pPr>
              <w:keepLines/>
              <w:spacing w:after="40" w:before="0" w:line="276"/>
            </w:pPr>
            <w:r>
              <w:rPr>
                <w:rFonts w:ascii="Arial" w:cs="Arial" w:eastAsia="Arial" w:hAnsi="Arial"/>
                <w:color w:val="706F7C"/>
                <w:sz w:val="18"/>
                <w:szCs w:val="18"/>
              </w:rPr>
              <w:t xml:space="preserve">•  PayTo: after the payment is approved.</w:t>
            </w:r>
          </w:p>
        </w:tc>
      </w:tr>
    </w:tbl>
    <w:p>
      <w:pPr>
        <w:keepLines/>
        <w:spacing w:after="240" w:before="160" w:line="276"/>
      </w:pP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REFUND OR VOID</w:t>
      </w:r>
    </w:p>
    <w:p>
      <w:pPr>
        <w:keepNext w:val="false"/>
        <w:keepLines/>
        <w:spacing w:after="70" w:before="0" w:line="276"/>
      </w:pPr>
      <w:r>
        <w:rPr>
          <w:rFonts w:ascii="Arial" w:cs="Arial" w:eastAsia="Arial" w:hAnsi="Arial"/>
          <w:color w:val="161619"/>
          <w:sz w:val="21"/>
          <w:szCs w:val="21"/>
        </w:rPr>
        <w:t xml:space="preserve">Select the receipt number to open the Transaction Details screen.</w:t>
      </w:r>
    </w:p>
    <w:p>
      <w:pPr>
        <w:keepNext/>
        <w:keepLines/>
        <w:spacing w:after="70" w:before="0" w:line="276"/>
      </w:pPr>
      <w:r>
        <w:rPr>
          <w:rFonts w:ascii="Arial" w:cs="Arial" w:eastAsia="Arial" w:hAnsi="Arial"/>
          <w:color w:val="161619"/>
          <w:sz w:val="21"/>
          <w:szCs w:val="21"/>
        </w:rPr>
        <w:t xml:space="preserve">Select Refund this transaction or Void this transaction, whichever is shown.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09925"/>
            <wp:effectExtent t="0" r="0" b="0" l="0"/>
            <wp:docPr id="41"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32099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credit card transaction.</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REFUND OR VOID</w:t>
      </w:r>
    </w:p>
    <w:p>
      <w:pPr>
        <w:keepNext w:val="false"/>
        <w:keepLines/>
        <w:spacing w:after="70" w:before="0" w:line="276"/>
      </w:pPr>
      <w:r>
        <w:rPr>
          <w:rFonts w:ascii="Arial" w:cs="Arial" w:eastAsia="Arial" w:hAnsi="Arial"/>
          <w:color w:val="161619"/>
          <w:sz w:val="21"/>
          <w:szCs w:val="21"/>
        </w:rPr>
        <w:t xml:space="preserve">Refund: on the Refund Payment screen, check the Refund Amount, add a comment if needed and select Confirm. To refund part of the payment, change the Refund Amount; you cannot refund more than the original payment.</w:t>
      </w:r>
    </w:p>
    <w:p>
      <w:pPr>
        <w:keepNext w:val="false"/>
        <w:keepLines/>
        <w:spacing w:after="70" w:before="0" w:line="276"/>
      </w:pPr>
      <w:r>
        <w:rPr>
          <w:rFonts w:ascii="Arial" w:cs="Arial" w:eastAsia="Arial" w:hAnsi="Arial"/>
          <w:color w:val="161619"/>
          <w:sz w:val="21"/>
          <w:szCs w:val="21"/>
        </w:rPr>
        <w:t xml:space="preserve">On the Confirm Refund screen, check the details and select Confirm again. A PayTo payment uses the same Refund Payment screen.</w:t>
      </w:r>
    </w:p>
    <w:p>
      <w:pPr>
        <w:keepNext w:val="false"/>
        <w:keepLines/>
        <w:spacing w:after="70" w:before="0" w:line="276"/>
      </w:pPr>
      <w:r>
        <w:rPr>
          <w:rFonts w:ascii="Arial" w:cs="Arial" w:eastAsia="Arial" w:hAnsi="Arial"/>
          <w:color w:val="161619"/>
          <w:sz w:val="21"/>
          <w:szCs w:val="21"/>
        </w:rPr>
        <w:t xml:space="preserve">Void: follow the on-screen steps to confirm. </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00350"/>
            <wp:effectExtent t="0" r="0" b="0" l="0"/>
            <wp:docPr id="42" name="refund_form" descr="Refund Payment screen" title="Refund Pay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28003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refunding a credit card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90825"/>
            <wp:effectExtent t="0" r="0" b="0" l="0"/>
            <wp:docPr id="43" name="refund_confirm" descr="Confirm Refund screen" title="Confirm Ref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57750" cy="27908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Refund screen.</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RESULT</w:t>
      </w:r>
    </w:p>
    <w:p>
      <w:pPr>
        <w:keepNext w:val="false"/>
        <w:keepLines/>
        <w:spacing w:after="70" w:before="0" w:line="276"/>
      </w:pPr>
      <w:r>
        <w:rPr>
          <w:rFonts w:ascii="Arial" w:cs="Arial" w:eastAsia="Arial" w:hAnsi="Arial"/>
          <w:color w:val="161619"/>
          <w:sz w:val="21"/>
          <w:szCs w:val="21"/>
        </w:rPr>
        <w:t xml:space="preserve">The Transaction Details screen shows “Refund was successful”. The refund is recorded as a separate transaction with a negative Total Amount, and the original appears under Related Transactions.</w:t>
      </w:r>
    </w:p>
    <w:p>
      <w:pPr>
        <w:keepNext w:val="false"/>
        <w:keepLines/>
        <w:spacing w:after="70" w:before="0" w:line="276"/>
      </w:pPr>
      <w:r>
        <w:rPr>
          <w:rFonts w:ascii="Arial" w:cs="Arial" w:eastAsia="Arial" w:hAnsi="Arial"/>
          <w:color w:val="161619"/>
          <w:sz w:val="21"/>
          <w:szCs w:val="21"/>
        </w:rPr>
        <w:t xml:space="preserve">A successful refund submission does not mean the customer has already received the funds.</w:t>
      </w:r>
    </w:p>
    <w:p>
      <w:pPr>
        <w:keepNext/>
        <w:keepLines/>
        <w:spacing w:after="70" w:before="0" w:line="276"/>
      </w:pPr>
      <w:r>
        <w:rPr>
          <w:rFonts w:ascii="Arial" w:cs="Arial" w:eastAsia="Arial" w:hAnsi="Arial"/>
          <w:color w:val="161619"/>
          <w:sz w:val="21"/>
          <w:szCs w:val="21"/>
        </w:rPr>
        <w:t xml:space="preserve">After a void, find the transaction again. Its Status changes to Voided and it does not form part of your settlement total. </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952875"/>
            <wp:effectExtent t="0" r="0" b="0" l="0"/>
            <wp:docPr id="44" name="refund_result" descr="Transaction Details screen after a successful refund" title="Transaction Details screen after a successful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57750" cy="3952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successful credit card refund.</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receipt number and amount before you confirm. If you are unsure which action applies, contact Westpac QuickStream support before you proceed.</w:t>
      </w:r>
    </w:p>
    <w:p>
      <w:pPr>
        <w:keepNext/>
        <w:keepLines/>
        <w:pageBreakBefore/>
        <w:spacing w:after="200" w:before="0" w:line="276"/>
      </w:pPr>
      <w:r>
        <w:drawing>
          <wp:inline distT="0" distB="0" distL="0" distR="0">
            <wp:extent cx="361950" cy="361950"/>
            <wp:effectExtent t="0" r="0" b="0" l="0"/>
            <wp:docPr id="45"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Choose the Date (Time Period or Specific Dates) and the Transaction Status. Choose a business and Order Type if you need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the report is ready, download it. If it takes a while, come back later and download it from Recent Exports.</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Recently exported transaction reports are available for two days from when they were generated.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47950"/>
            <wp:effectExtent t="0" r="0" b="0" l="0"/>
            <wp:docPr id="46"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57750" cy="26479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47"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The previous settlement date is shown by default. To see another day, enter a Settlement Date and select Display, or select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Settlement amounts are indicative of how the settlement will appear on your bank statement.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314575"/>
            <wp:effectExtent t="0" r="0" b="0" l="0"/>
            <wp:docPr id="48"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2314575"/>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49"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Settlement amounts are indicative of how the settlement will appear on your bank statement.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600450"/>
            <wp:effectExtent t="0" r="0" b="0" l="0"/>
            <wp:docPr id="50"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57750" cy="36004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51"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Date (required): Time Period or Specific Dates. To narrow the list, choose a Business or enter a Report Name (both optional).</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24150"/>
            <wp:effectExtent t="0" r="0" b="0" l="0"/>
            <wp:docPr id="52"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724150"/>
                    </a:xfrm>
                    <a:prstGeom prst="rect">
                      <a:avLst/>
                    </a:prstGeom>
                  </pic:spPr>
                </pic:pic>
              </a:graphicData>
            </a:graphic>
          </wp:inline>
        </w:drawing>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QuickTerminal Quick Start Guide  |  Version 1.14 (Draft)  |  20 October 2026</w:t>
    </w:r>
    <w:r>
      <w:rPr>
        <w:rFonts w:ascii="Arial" w:cs="Arial" w:eastAsia="Arial" w:hAnsi="Arial"/>
      </w:rPr>
      <w:t xml:space="preserve">	</w:t>
    </w:r>
    <w:r>
      <w:rPr>
        <w:rFonts w:ascii="Arial" w:cs="Arial" w:eastAsia="Arial" w:hAnsi="Arial"/>
        <w:b/>
        <w:bCs/>
        <w:color w:val="161619"/>
        <w:sz w:val="16"/>
        <w:szCs w:val="16"/>
      </w:rPr>
      <w:fldChar w:fldCharType="begin"/>
    </w:r>
    <w:r>
      <w:rPr>
        <w:rFonts w:ascii="Arial" w:cs="Arial" w:eastAsia="Arial" w:hAnsi="Arial"/>
        <w:b/>
        <w:bCs/>
        <w:color w:val="161619"/>
        <w:sz w:val="16"/>
        <w:szCs w:val="16"/>
      </w:rPr>
      <w:instrText xml:space="preserve">PAGE</w:instrText>
    </w:r>
    <w:r>
      <w:rPr>
        <w:rFonts w:ascii="Arial" w:cs="Arial" w:eastAsia="Arial" w:hAnsi="Arial"/>
        <w:b/>
        <w:bCs/>
        <w:color w:val="161619"/>
        <w:sz w:val="16"/>
        <w:szCs w:val="16"/>
      </w:rPr>
      <w:fldChar w:fldCharType="separate"/>
    </w:r>
    <w:r>
      <w:rPr>
        <w:rFonts w:ascii="Arial" w:cs="Arial" w:eastAsia="Arial" w:hAnsi="Arial"/>
        <w:b/>
        <w:bCs/>
        <w:color w:val="1616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c73fe4606f06c08650305082c5a999357ad386d0.png"/><Relationship Id="rId23" Type="http://schemas.openxmlformats.org/officeDocument/2006/relationships/image" Target="media/d6c7ffaa4ccc96a88dff376255bdae9f5f8be544.png"/><Relationship Id="rId24" Type="http://schemas.openxmlformats.org/officeDocument/2006/relationships/image" Target="media/9e70af94e121ef6dad5376ad3a23d2d3bf45f0d2.png"/><Relationship Id="rId25" Type="http://schemas.openxmlformats.org/officeDocument/2006/relationships/image" Target="media/99980b81221ec766e5c76f2f3cb79b44a7e0ced0.png"/><Relationship Id="rId26" Type="http://schemas.openxmlformats.org/officeDocument/2006/relationships/image" Target="media/b9fe609a27304aaecad739a9a30faf46ea9e64a3.png"/><Relationship Id="rId27" Type="http://schemas.openxmlformats.org/officeDocument/2006/relationships/image" Target="media/fd832934de3319c7c9db7c80dc4c8fac88a6ba3f.png"/><Relationship Id="rId28" Type="http://schemas.openxmlformats.org/officeDocument/2006/relationships/image" Target="media/30a9cc3f6e5708b6073542e9043c9c01b2d0a325.png"/><Relationship Id="rId29" Type="http://schemas.openxmlformats.org/officeDocument/2006/relationships/image" Target="media/83e86f0a7980287987da5557e865775328822bc7.png"/><Relationship Id="rId30" Type="http://schemas.openxmlformats.org/officeDocument/2006/relationships/image" Target="media/99c026c1a2abe41c429e0db7b4ed5507fb0ca0c1.png"/><Relationship Id="rId31" Type="http://schemas.openxmlformats.org/officeDocument/2006/relationships/image" Target="media/f9a4112de2c929cab8d3bd517f4efe9d4838ed8a.png"/><Relationship Id="rId32" Type="http://schemas.openxmlformats.org/officeDocument/2006/relationships/image" Target="media/58b537bf76bcbb0d0fb5720ac1d4a8dc71421f4c.png"/><Relationship Id="rId33" Type="http://schemas.openxmlformats.org/officeDocument/2006/relationships/image" Target="media/dc0da2a37f22cfadff3655c5419d009bbe0f80c3.png"/><Relationship Id="rId34" Type="http://schemas.openxmlformats.org/officeDocument/2006/relationships/image" Target="media/9fe9ca0d09537a3e01154695dab6b02a6ab19168.png"/><Relationship Id="rId35" Type="http://schemas.openxmlformats.org/officeDocument/2006/relationships/image" Target="media/1a1d8a22cdec9b28835f2616319c59dd272bf179.png"/><Relationship Id="rId36" Type="http://schemas.openxmlformats.org/officeDocument/2006/relationships/image" Target="media/a6e9078438cafde8f032c246f8733cbaa6585011.png"/><Relationship Id="rId37" Type="http://schemas.openxmlformats.org/officeDocument/2006/relationships/image" Target="media/40817d95adbd55f5fba071a7069ce6b17793cf0f.png"/><Relationship Id="rId38" Type="http://schemas.openxmlformats.org/officeDocument/2006/relationships/image" Target="media/a1f4697079b5d5ae9a81ae04f9ebe4bb4ebb1dec.png"/><Relationship Id="rId39" Type="http://schemas.openxmlformats.org/officeDocument/2006/relationships/image" Target="media/5693f780ad0761a053fdb309e4f528256b7c28af.png"/><Relationship Id="rId40" Type="http://schemas.openxmlformats.org/officeDocument/2006/relationships/image" Target="media/d8572a4a3150c802a8a00111545e9df3244c51f5.png"/><Relationship Id="rId41" Type="http://schemas.openxmlformats.org/officeDocument/2006/relationships/image" Target="media/7928f35ccfde26175f755eeb0c864378cc4d5d80.png"/><Relationship Id="rId42" Type="http://schemas.openxmlformats.org/officeDocument/2006/relationships/image" Target="media/e01a76b11e9b33493c64babae1638d9082d1c160.png"/><Relationship Id="rId43" Type="http://schemas.openxmlformats.org/officeDocument/2006/relationships/image" Target="media/2ba7c3a38afd7839c89919e72da57a0fc659e21d.png"/><Relationship Id="rId44" Type="http://schemas.openxmlformats.org/officeDocument/2006/relationships/image" Target="media/eea8fff37f916245ce4022dc8e5f333bdec0f756.png"/><Relationship Id="rId45" Type="http://schemas.openxmlformats.org/officeDocument/2006/relationships/image" Target="media/e95b02558bf7b7c358299eb4439407e5ce12c288.png"/><Relationship Id="rId46" Type="http://schemas.openxmlformats.org/officeDocument/2006/relationships/image" Target="media/bc16233c0751f838fd96d55b0722359c707ef29b.png"/><Relationship Id="rId47" Type="http://schemas.openxmlformats.org/officeDocument/2006/relationships/image" Target="media/ecb3f170cc69590ee8136647b2391e2b15a6a3e2.png"/><Relationship Id="rId48" Type="http://schemas.openxmlformats.org/officeDocument/2006/relationships/image" Target="media/8c5a2ace74fedb48f906451b41fa403e749cdbf0.png"/><Relationship Id="rId49" Type="http://schemas.openxmlformats.org/officeDocument/2006/relationships/image" Target="media/39c8f244b77668a29f8ab61c9b863c8d869089f8.png"/><Relationship Id="rId50" Type="http://schemas.openxmlformats.org/officeDocument/2006/relationships/image" Target="media/325f59f12cbe33925d4b0a93e9204200a2b426fe.png"/><Relationship Id="rId51" Type="http://schemas.openxmlformats.org/officeDocument/2006/relationships/image" Target="media/73b4208c06aa464b30f33bc1692a84582003b37c.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QuickTerminal Quick Start Guide</dc:title>
  <dc:creator>QuickStream</dc:creator>
  <dc:description>QuickTerminal Quick Start Guide Version 1.14 (Draft)</dc:description>
  <cp:lastModifiedBy>Un-named</cp:lastModifiedBy>
  <cp:revision>1</cp:revision>
  <dcterms:created xsi:type="dcterms:W3CDTF">2026-10-21T04:15:03.573Z</dcterms:created>
  <dcterms:modified xsi:type="dcterms:W3CDTF">2026-10-21T04:15:03.574Z</dcterms:modified>
</cp:coreProperties>
</file>

<file path=docProps/custom.xml><?xml version="1.0" encoding="utf-8"?>
<Properties xmlns="http://schemas.openxmlformats.org/officeDocument/2006/custom-properties" xmlns:vt="http://schemas.openxmlformats.org/officeDocument/2006/docPropsVTypes"/>
</file>