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70C0"/>
          <w:sz w:val="36"/>
          <w:szCs w:val="36"/>
        </w:rPr>
        <w:t xml:space="preserve">Guion de Exposición — Trabajo #3</w:t>
      </w:r>
    </w:p>
    <w:p>
      <w:pPr>
        <w:spacing w:after="40"/>
        <w:jc w:val="center"/>
      </w:pPr>
      <w:r>
        <w:rPr>
          <w:sz w:val="24"/>
          <w:szCs w:val="24"/>
        </w:rPr>
        <w:t xml:space="preserve">Sistema de Gestión de Inventario para Botillería — MVP</w:t>
      </w:r>
    </w:p>
    <w:p>
      <w:pPr>
        <w:spacing w:after="240"/>
        <w:jc w:val="center"/>
      </w:pPr>
      <w:r>
        <w:rPr>
          <w:color w:val="595959"/>
          <w:sz w:val="20"/>
          <w:szCs w:val="20"/>
        </w:rPr>
        <w:t xml:space="preserve">Grupo Verde · IIG4701 Taller de Gestión de Proyectos · 16 de junio de 2026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Duración objetivo: ~9–10 minutos. Cada integrante expone las láminas asignadas (la rúbrica exige participación equivalente). El guion es un APOYO: no leerlo textual, ya que la rúbrica penaliza la lectura excesiva de diapositivas.</w:t>
      </w:r>
    </w:p>
    <w:p>
      <w:pPr>
        <w:pStyle w:val="Heading2"/>
        <w:spacing w:after="80" w:before="120"/>
      </w:pPr>
      <w:r>
        <w:rPr>
          <w:b/>
          <w:bCs/>
          <w:color w:val="0070C0"/>
        </w:rPr>
        <w:t xml:space="preserve">Reparto de expositores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Láminas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Tiempo aprox.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Matías Arriagada (Director)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L1, L12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~1,5 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Pedro Faúndez (Jefe de Proyecto)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L2, L4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~1,5 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Alejandro Uribe (Arquitecto)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L3, L5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~1,5 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Bryan Alfaro (QA)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L6, L7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~1,5 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Jeremy Hernández (Programador)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~50 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Vicente Riquelme (Programador)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~45 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José Alarcón (Base de Datos)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~45 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Bastián Pozo (ex director)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~40 s</w:t>
            </w:r>
          </w:p>
        </w:tc>
      </w:tr>
    </w:tbl>
    <w:p>
      <w:pPr>
        <w:pStyle w:val="Heading2"/>
        <w:spacing w:after="80" w:before="320"/>
      </w:pPr>
      <w:r>
        <w:rPr>
          <w:b/>
          <w:bCs/>
          <w:color w:val="0070C0"/>
        </w:rPr>
        <w:t xml:space="preserve">Guion por lámina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Lámina 1 — Portada</w:t>
      </w:r>
    </w:p>
    <w:p>
      <w:pPr>
        <w:spacing w:after="60"/>
      </w:pPr>
      <w:r>
        <w:rPr>
          <w:b/>
          <w:bCs/>
          <w:color w:val="0070C0"/>
          <w:sz w:val="20"/>
          <w:szCs w:val="20"/>
        </w:rPr>
        <w:t xml:space="preserve">Expositor: Matías Arriagada   ·   ~30 s</w:t>
      </w:r>
    </w:p>
    <w:p>
      <w:pPr>
        <w:spacing w:after="80"/>
      </w:pPr>
      <w:r>
        <w:rPr>
          <w:sz w:val="22"/>
          <w:szCs w:val="22"/>
        </w:rPr>
        <w:t xml:space="preserve">Buenas tardes. Somos el Grupo Verde. Presentamos el reporte de ejecución, monitoreo y control de nuestro proyecto: un sistema de gestión de inventario para botillería. En los próximos 10 minutos verán el estado del proyecto, las desviaciones respecto del plan, cómo gestionamos los cambios y los riesgos, y nuestra recomendación sobre el cierre.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Lámina 2 — Estado general del proyecto</w:t>
      </w:r>
    </w:p>
    <w:p>
      <w:pPr>
        <w:spacing w:after="60"/>
      </w:pPr>
      <w:r>
        <w:rPr>
          <w:b/>
          <w:bCs/>
          <w:color w:val="0070C0"/>
          <w:sz w:val="20"/>
          <w:szCs w:val="20"/>
        </w:rPr>
        <w:t xml:space="preserve">Expositor: Pedro Faúndez   ·   ~50 s</w:t>
      </w:r>
    </w:p>
    <w:p>
      <w:pPr>
        <w:spacing w:after="80"/>
      </w:pPr>
      <w:r>
        <w:rPr>
          <w:sz w:val="22"/>
          <w:szCs w:val="22"/>
        </w:rPr>
        <w:t xml:space="preserve">El proyecto tiene un avance global cercano al 80%. Lo medimos por hitos ponderados según esfuerzo: están completados los hitos H-0 a H-3, que incluyen el diseño y el desarrollo e integración, que es el de mayor peso. En curso están las pruebas (H-4), el manual (H-5) y esta presentación (H-6). Estamos en la semana 13 de 15. El núcleo del alcance se cumplió; lo que se retrasó fueron las pruebas del lector, por una adquisición pendiente que explicaremos.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Lámina 3 — Variaciones: alcance y tiempo</w:t>
      </w:r>
    </w:p>
    <w:p>
      <w:pPr>
        <w:spacing w:after="60"/>
      </w:pPr>
      <w:r>
        <w:rPr>
          <w:b/>
          <w:bCs/>
          <w:color w:val="0070C0"/>
          <w:sz w:val="20"/>
          <w:szCs w:val="20"/>
        </w:rPr>
        <w:t xml:space="preserve">Expositor: Alejandro Uribe   ·   ~50 s</w:t>
      </w:r>
    </w:p>
    <w:p>
      <w:pPr>
        <w:spacing w:after="80"/>
      </w:pPr>
      <w:r>
        <w:rPr>
          <w:sz w:val="22"/>
          <w:szCs w:val="22"/>
        </w:rPr>
        <w:t xml:space="preserve">En alcance tuvimos un cambio importante: pasamos de un sistema a medida instalado en el local de un cliente a un producto de inventario pensado para comercialización; por eso las pruebas las realiza el propio equipo. En tiempo hay un atraso en el hito de pruebas: la causa es que el lector de código de barras no se adquirió a tiempo. El impacto se acota a las pruebas del lector; el resto del MVP está operativo. La medida fue conseguir un lector en préstamo y mantener el ingreso manual como respaldo.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Lámina 4 — Variaciones: costos</w:t>
      </w:r>
    </w:p>
    <w:p>
      <w:pPr>
        <w:spacing w:after="60"/>
      </w:pPr>
      <w:r>
        <w:rPr>
          <w:b/>
          <w:bCs/>
          <w:color w:val="0070C0"/>
          <w:sz w:val="20"/>
          <w:szCs w:val="20"/>
        </w:rPr>
        <w:t xml:space="preserve">Expositor: Pedro Faúndez   ·   ~40 s</w:t>
      </w:r>
    </w:p>
    <w:p>
      <w:pPr>
        <w:spacing w:after="80"/>
      </w:pPr>
      <w:r>
        <w:rPr>
          <w:sz w:val="22"/>
          <w:szCs w:val="22"/>
        </w:rPr>
        <w:t xml:space="preserve">En costos, el plan contemplaba 20 mil pesos, únicamente para el lector. A la fecha el costo ejecutado es cero, porque la compra está pendiente. Es importante aclarar que esa variación favorable no es un ahorro real: el costo se materializará al adquirir el equipo. Para las pruebas usamos un lector prestado, sin costo. El presupuesto se mantiene muy acotado y bajo control.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Lámina 5 — Gestión del alcance y cambios</w:t>
      </w:r>
    </w:p>
    <w:p>
      <w:pPr>
        <w:spacing w:after="60"/>
      </w:pPr>
      <w:r>
        <w:rPr>
          <w:b/>
          <w:bCs/>
          <w:color w:val="0070C0"/>
          <w:sz w:val="20"/>
          <w:szCs w:val="20"/>
        </w:rPr>
        <w:t xml:space="preserve">Expositor: Alejandro Uribe   ·   ~50 s</w:t>
      </w:r>
    </w:p>
    <w:p>
      <w:pPr>
        <w:spacing w:after="80"/>
      </w:pPr>
      <w:r>
        <w:rPr>
          <w:sz w:val="22"/>
          <w:szCs w:val="22"/>
        </w:rPr>
        <w:t xml:space="preserve">Tuvimos dos cambios controlados. El primero, técnico: de un ejecutable de escritorio pasamos a una aplicación web local, por portabilidad y mantenibilidad. El segundo, de alcance: de una solución a medida a un producto para comercialización, lo que además corrige una inconsistencia que teníamos sobre el cliente. Ambos se evaluaron en equipo, los aprobó el director y se registraron. No hubo scope creep: fueron decisiones deliberadas y acotadas al MVP.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Lámina 6 — Gestión de riesgos: materializados</w:t>
      </w:r>
    </w:p>
    <w:p>
      <w:pPr>
        <w:spacing w:after="60"/>
      </w:pPr>
      <w:r>
        <w:rPr>
          <w:b/>
          <w:bCs/>
          <w:color w:val="0070C0"/>
          <w:sz w:val="20"/>
          <w:szCs w:val="20"/>
        </w:rPr>
        <w:t xml:space="preserve">Expositor: Bryan Alfaro   ·   ~50 s</w:t>
      </w:r>
    </w:p>
    <w:p>
      <w:pPr>
        <w:spacing w:after="80"/>
      </w:pPr>
      <w:r>
        <w:rPr>
          <w:sz w:val="22"/>
          <w:szCs w:val="22"/>
        </w:rPr>
        <w:t xml:space="preserve">El principal riesgo que se materializó ya estaba en nuestro PMP: la no disponibilidad e integración del lector, con probabilidad baja pero impacto alto. Su impacto real fue el atraso de las pruebas de integración. La respuesta planificada, pruebas funcionales más respaldo manual, funcionó parcialmente: el sistema sigue operativo aun sin el lector, gracias al ingreso manual. No teníamos reserva de contingencia monetaria, así que la respuesta fue de gestión: conseguir el equipo en préstamo. Queda pendiente validar la integración.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Lámina 7 — Gestión de riesgos: nuevos y residuales</w:t>
      </w:r>
    </w:p>
    <w:p>
      <w:pPr>
        <w:spacing w:after="60"/>
      </w:pPr>
      <w:r>
        <w:rPr>
          <w:b/>
          <w:bCs/>
          <w:color w:val="0070C0"/>
          <w:sz w:val="20"/>
          <w:szCs w:val="20"/>
        </w:rPr>
        <w:t xml:space="preserve">Expositor: Bryan Alfaro   ·   ~45 s</w:t>
      </w:r>
    </w:p>
    <w:p>
      <w:pPr>
        <w:spacing w:after="80"/>
      </w:pPr>
      <w:r>
        <w:rPr>
          <w:sz w:val="22"/>
          <w:szCs w:val="22"/>
        </w:rPr>
        <w:t xml:space="preserve">Durante la ejecución aparecieron dos riesgos nuevos. Uno: al cambiar a producto comercial, ya no hay un usuario real validando; lo cubrimos con validación del propio equipo y validación académica, y dejamos el usuario piloto para una etapa futura. Dos: el cambio de liderazgo, que tratamos con traspaso de contexto y roles definidos. Como riesgos residuales quedan la integración del lector sin validar al cien por ciento y la validación con usuario real; ambos acotados y con acción definida.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Lámina 8 — Partes interesadas y comunicaciones</w:t>
      </w:r>
    </w:p>
    <w:p>
      <w:pPr>
        <w:spacing w:after="60"/>
      </w:pPr>
      <w:r>
        <w:rPr>
          <w:b/>
          <w:bCs/>
          <w:color w:val="0070C0"/>
          <w:sz w:val="20"/>
          <w:szCs w:val="20"/>
        </w:rPr>
        <w:t xml:space="preserve">Expositor: Vicente Riquelme   ·   ~45 s</w:t>
      </w:r>
    </w:p>
    <w:p>
      <w:pPr>
        <w:spacing w:after="80"/>
      </w:pPr>
      <w:r>
        <w:rPr>
          <w:sz w:val="22"/>
          <w:szCs w:val="22"/>
        </w:rPr>
        <w:t xml:space="preserve">En partes interesadas, el cambio principal es que el cliente específico sale del alcance al volvernos producto comercial. Los stakeholders clave ahora son el equipo, el docente y el ayudante como validadores, y el mercado potencial a futuro. El involucramiento del docente y del ayudante es alto y se concreta hoy. En comunicaciones, nuestro principal problema fue la continuidad por los cambios de liderazgo; lo corregimos con traspaso documentado y roles claros.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Lámina 9 — Gestión del equipo y recursos</w:t>
      </w:r>
    </w:p>
    <w:p>
      <w:pPr>
        <w:spacing w:after="60"/>
      </w:pPr>
      <w:r>
        <w:rPr>
          <w:b/>
          <w:bCs/>
          <w:color w:val="0070C0"/>
          <w:sz w:val="20"/>
          <w:szCs w:val="20"/>
        </w:rPr>
        <w:t xml:space="preserve">Expositor: Bastián Pozo   ·   ~40 s</w:t>
      </w:r>
    </w:p>
    <w:p>
      <w:pPr>
        <w:spacing w:after="80"/>
      </w:pPr>
      <w:r>
        <w:rPr>
          <w:sz w:val="22"/>
          <w:szCs w:val="22"/>
        </w:rPr>
        <w:t xml:space="preserve">Sobre el equipo: el liderazgo del proyecto cambió durante el desarrollo; el director actual es Matías Arriagada y yo, como director inicial, quedé apoyando el traspaso de contexto. Los roles del PMP se mantienen: jefe de proyecto, arquitecto, QA, programadores y base de datos. El problema relevante fue la discontinuidad por el cambio de liderazgo y el recurso pendiente del lector; lo abordamos con apoyo cruzado y el lector en préstamo.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Lámina 10 — Toma de decisiones durante la ejecución</w:t>
      </w:r>
    </w:p>
    <w:p>
      <w:pPr>
        <w:spacing w:after="60"/>
      </w:pPr>
      <w:r>
        <w:rPr>
          <w:b/>
          <w:bCs/>
          <w:color w:val="0070C0"/>
          <w:sz w:val="20"/>
          <w:szCs w:val="20"/>
        </w:rPr>
        <w:t xml:space="preserve">Expositor: Jeremy Hernández   ·   ~50 s</w:t>
      </w:r>
    </w:p>
    <w:p>
      <w:pPr>
        <w:spacing w:after="80"/>
      </w:pPr>
      <w:r>
        <w:rPr>
          <w:sz w:val="22"/>
          <w:szCs w:val="22"/>
        </w:rPr>
        <w:t xml:space="preserve">Las decisiones clave de la ejecución fueron cuatro. Migrar a aplicación web, por portabilidad. Redefinir el alcance a producto comercial. Usar un asistente de IA para acelerar el desarrollo, siendo transparentes: el equipo se concentró en los requisitos, la integración, la revisión y validación del código, las pruebas y la gestión. Y conseguir el lector en préstamo para no bloquear las pruebas. Como desafíos pendientes quedan validar el lector y obtener hoy su validación.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Lámina 11 — Lecciones aprendidas</w:t>
      </w:r>
    </w:p>
    <w:p>
      <w:pPr>
        <w:spacing w:after="60"/>
      </w:pPr>
      <w:r>
        <w:rPr>
          <w:b/>
          <w:bCs/>
          <w:color w:val="0070C0"/>
          <w:sz w:val="20"/>
          <w:szCs w:val="20"/>
        </w:rPr>
        <w:t xml:space="preserve">Expositor: José Alarcón   ·   ~45 s</w:t>
      </w:r>
    </w:p>
    <w:p>
      <w:pPr>
        <w:spacing w:after="80"/>
      </w:pPr>
      <w:r>
        <w:rPr>
          <w:sz w:val="22"/>
          <w:szCs w:val="22"/>
        </w:rPr>
        <w:t xml:space="preserve">Aprendimos varias cosas. Que las adquisiciones, aunque sean baratas, deben gestionarse desde el inicio: un ítem de 20 mil pesos fue nuestro cuello de botella. Que el cambio de liderazgo exige traspaso documentado. Y que la IA acelera el desarrollo, pero exige que el equipo revise, valide y pruebe el código; no reemplaza nuestro criterio. Como recomendación: gestionar las compras temprano con una reserva de contingencia y validar tempranamente la salida de la IA con pruebas.</w:t>
      </w:r>
    </w:p>
    <w:p>
      <w:pPr>
        <w:spacing w:after="40" w:before="200"/>
      </w:pPr>
      <w:r>
        <w:rPr>
          <w:b/>
          <w:bCs/>
          <w:sz w:val="24"/>
          <w:szCs w:val="24"/>
        </w:rPr>
        <w:t xml:space="preserve">Lámina 12 — Conclusiones</w:t>
      </w:r>
    </w:p>
    <w:p>
      <w:pPr>
        <w:spacing w:after="60"/>
      </w:pPr>
      <w:r>
        <w:rPr>
          <w:b/>
          <w:bCs/>
          <w:color w:val="0070C0"/>
          <w:sz w:val="20"/>
          <w:szCs w:val="20"/>
        </w:rPr>
        <w:t xml:space="preserve">Expositor: Javier Aguilar   ·   ~60 s</w:t>
      </w:r>
    </w:p>
    <w:p>
      <w:pPr>
        <w:spacing w:after="80"/>
      </w:pPr>
      <w:r>
        <w:rPr>
          <w:sz w:val="22"/>
          <w:szCs w:val="22"/>
        </w:rPr>
        <w:t xml:space="preserve">Para concluir: el desempeño global es bueno, con un MVP funcional operativo en entorno local y los objetivos centrales logrados. Sin embargo, nuestra conclusión es que el proyecto aún no está en condiciones de cerrarse, pero sí de avanzar hacia el cierre, sujeto a cuatro condiciones: validar la integración del lector, completar el documento de pruebas y el manual, y formalizar la aceptación en esta instancia. Los riesgos residuales son acotados y con acción definida, por lo que recomendamos cerrar una vez cumplidas esas condiciones. Muchas gracias.</w:t>
      </w:r>
    </w:p>
    <w:p>
      <w:pPr>
        <w:pStyle w:val="Heading2"/>
        <w:pageBreakBefore/>
        <w:spacing w:after="80"/>
      </w:pPr>
      <w:r>
        <w:rPr>
          <w:b/>
          <w:bCs/>
          <w:color w:val="0070C0"/>
        </w:rPr>
        <w:t xml:space="preserve">Preparación para preguntas (defensa)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Si preguntan por el código / la IA: “Usamos un asistente de IA como herramienta de productividad para construir el MVP dentro del plazo. El trabajo del equipo se concentró en definir requisitos, integrar, revisar y validar el código, hacer las pruebas y gestionar el proyecto.”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Si preguntan cómo miden el 80%: “Es un avance por hitos ponderados según esfuerzo; el desarrollo e integración (H-3), que es el de mayor peso, está completo.”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Si preguntan por el cambio de alcance: “Fue una redefinición controlada y registrada: pasamos de una solución a medida a un producto comercializable; eso cambia el criterio de éxito de ‘aceptación de un cliente’ a ‘MVP funcional validado por el equipo’.”</w:t>
      </w:r>
    </w:p>
    <w:p>
      <w:pPr>
        <w:spacing w:before="200"/>
      </w:pPr>
      <w:r>
        <w:rPr>
          <w:i/>
          <w:iCs/>
          <w:color w:val="595959"/>
          <w:sz w:val="20"/>
          <w:szCs w:val="20"/>
        </w:rPr>
        <w:t xml:space="preserve">Consejo final: practicar una pasada cronometrada; mantener contacto visual; el que cierra (Matías) debe dejar clara la recomendación: avanzar hacia el cierre con las 4 condiciones cumplidas.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2026-06-15T00:09:19.422Z</dcterms:created>
  <dcterms:modified xsi:type="dcterms:W3CDTF">2026-06-15T00:09:19.422Z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