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6f9ee956b7a33779c1a1717730c85538852b08aa.png"/>
            <a:graphic>
              <a:graphicData uri="http://schemas.openxmlformats.org/drawingml/2006/picture">
                <pic:pic>
                  <pic:nvPicPr>
                    <pic:cNvPr id="1" name="image-6f9ee956b7a33779c1a1717730c85538852b08aa.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q1_transform_indigenous_research_9510d3"/>
      <w:r>
        <w:rPr>
          <w:rFonts w:eastAsia="inter" w:cs="inter" w:ascii="inter" w:hAnsi="inter"/>
          <w:b/>
          <w:color w:val="000000"/>
          <w:sz w:val="39"/>
        </w:rPr>
        <w:t xml:space="preserve">Q1: "Transform Indigenous research/ceremonial practice itself (methods, protocols, paradigms)" AND "Design and build media/AI/storytelling systems grounded in Indigenous paradigms".</w:t>
      </w:r>
      <w:bookmarkEnd w:id="0"/>
    </w:p>
    <w:p>
      <w:pPr>
        <w:spacing w:line="360" w:after="210" w:lineRule="auto"/>
      </w:pPr>
      <w:r>
        <w:rPr>
          <w:rFonts w:eastAsia="inter" w:cs="inter" w:ascii="inter" w:hAnsi="inter"/>
          <w:color w:val="000000"/>
        </w:rPr>
        <w:t xml:space="preserve">Q2: "Non‑negotiable: Indigenous methodologies‑centred programme "</w:t>
      </w:r>
    </w:p>
    <w:p>
      <w:pPr>
        <w:spacing w:line="360" w:after="210" w:lineRule="auto"/>
      </w:pPr>
      <w:r>
        <w:rPr>
          <w:rFonts w:eastAsia="inter" w:cs="inter" w:ascii="inter" w:hAnsi="inter"/>
          <w:color w:val="000000"/>
        </w:rPr>
        <w:t xml:space="preserve">Q3: "Community-based/ceremonial work and knowledge stewardship" AND "Industry/innovation (AI, media, creative technology)"</w:t>
      </w:r>
    </w:p>
    <w:p>
      <w:pPr>
        <w:spacing w:line="360" w:after="210" w:lineRule="auto"/>
      </w:pPr>
      <w:r>
        <w:rPr>
          <w:rFonts w:eastAsia="inter" w:cs="inter" w:ascii="inter" w:hAnsi="inter"/>
          <w:color w:val="000000"/>
        </w:rPr>
        <w:t xml:space="preserve">Kaupapa Māori research approach – core features and uses</w:t>
      </w:r>
    </w:p>
    <w:p>
      <w:pPr>
        <w:spacing w:line="360" w:after="210" w:lineRule="auto"/>
      </w:pPr>
      <w:r>
        <w:rPr>
          <w:rFonts w:eastAsia="inter" w:cs="inter" w:ascii="inter" w:hAnsi="inter"/>
          <w:color w:val="000000"/>
        </w:rPr>
        <w:t xml:space="preserve">Kaupapa Māori emerged as a specifically Māori response to colonising research and policy, articulated most prominently by Linda Tuhiwai Smith in </w:t>
      </w:r>
      <w:r>
        <w:rPr>
          <w:rFonts w:eastAsia="inter" w:cs="inter" w:ascii="inter" w:hAnsi="inter"/>
          <w:i/>
          <w:color w:val="000000"/>
        </w:rPr>
        <w:t xml:space="preserve">Decolonizing Methodologies</w:t>
      </w:r>
      <w:r>
        <w:rPr>
          <w:rFonts w:eastAsia="inter" w:cs="inter" w:ascii="inter" w:hAnsi="inter"/>
          <w:color w:val="000000"/>
        </w:rPr>
        <w:t xml:space="preserve"> and subsequent work. It is not just “a method”, but a critical, decolonising framework whereby research is by Māori, with Māori, for Māori, grounded in Māori language, tikanga, and aspirations for tino rangatiratanga. Research is positioned within te ao Māori: whakapapa, whanaungatanga, mana, tapu, utu, wairua, and manaakitanga become core organising principles, not “cultural add‑ons”.</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bookmarkStart w:id="3" w:name="fnref3"/>
      <w:bookmarkEnd w:id="3"/>
      <w:hyperlink w:anchor="fn3">
        <w:r>
          <w:rPr>
            <w:rFonts w:eastAsia="inter" w:cs="inter" w:ascii="inter" w:hAnsi="inter"/>
            <w:color w:val="#000"/>
            <w:u w:val="single"/>
            <w:vertAlign w:val="superscript"/>
          </w:rPr>
          <w:t xml:space="preserve">[3]</w:t>
        </w:r>
      </w:hyperlink>
      <w:bookmarkStart w:id="4" w:name="fnref4"/>
      <w:bookmarkEnd w:id="4"/>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Smith and others frame Kaupapa Māori as:</w:t>
      </w:r>
    </w:p>
    <w:p>
      <w:pPr>
        <w:numPr>
          <w:ilvl w:val="0"/>
          <w:numId w:val="1"/>
        </w:numPr>
        <w:spacing w:line="360" w:before="105" w:after="105" w:lineRule="auto"/>
      </w:pPr>
      <w:r>
        <w:rPr>
          <w:rFonts w:eastAsia="inter" w:cs="inter" w:ascii="inter" w:hAnsi="inter"/>
          <w:color w:val="000000"/>
          <w:sz w:val="21"/>
        </w:rPr>
        <w:t xml:space="preserve">Epistemic: mātauranga Māori is a valid, sovereign knowledge system, not a “data source” for Western theory.</w:t>
      </w:r>
      <w:bookmarkStart w:id="5" w:name="fnref2_1"/>
      <w:bookmarkEnd w:id="5"/>
      <w:hyperlink w:anchor="fn2">
        <w:r>
          <w:rPr>
            <w:rFonts w:eastAsia="inter" w:cs="inter" w:ascii="inter" w:hAnsi="inter"/>
            <w:color w:val="#000"/>
            <w:sz w:val="21"/>
            <w:u w:val="single"/>
            <w:vertAlign w:val="superscript"/>
          </w:rPr>
          <w:t xml:space="preserve">[2]</w:t>
        </w:r>
      </w:hyperlink>
      <w:bookmarkStart w:id="6" w:name="fnref1_1"/>
      <w:bookmarkEnd w:id="6"/>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Political: research must contribute to Māori self‑determination and resist deficit/framing Māori as “problems”.</w:t>
      </w:r>
      <w:bookmarkStart w:id="7" w:name="fnref5"/>
      <w:bookmarkEnd w:id="7"/>
      <w:hyperlink w:anchor="fn5">
        <w:r>
          <w:rPr>
            <w:rFonts w:eastAsia="inter" w:cs="inter" w:ascii="inter" w:hAnsi="inter"/>
            <w:color w:val="#000"/>
            <w:sz w:val="21"/>
            <w:u w:val="single"/>
            <w:vertAlign w:val="superscript"/>
          </w:rPr>
          <w:t xml:space="preserve">[5]</w:t>
        </w:r>
      </w:hyperlink>
      <w:bookmarkStart w:id="8" w:name="fnref1_2"/>
      <w:bookmarkEnd w:id="8"/>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Methodological: research design, data collection and analysis are guided by tikanga and relational ethics (aroha, whanaungatanga, manaakitanga, kia tūpato, etc.).</w:t>
      </w:r>
      <w:bookmarkStart w:id="9" w:name="fnref3_1"/>
      <w:bookmarkEnd w:id="9"/>
      <w:hyperlink w:anchor="fn3">
        <w:r>
          <w:rPr>
            <w:rFonts w:eastAsia="inter" w:cs="inter" w:ascii="inter" w:hAnsi="inter"/>
            <w:color w:val="#000"/>
            <w:sz w:val="21"/>
            <w:u w:val="single"/>
            <w:vertAlign w:val="superscript"/>
          </w:rPr>
          <w:t xml:space="preserve">[3]</w:t>
        </w:r>
      </w:hyperlink>
      <w:bookmarkStart w:id="10" w:name="fnref4_1"/>
      <w:bookmarkEnd w:id="10"/>
      <w:hyperlink w:anchor="fn4">
        <w:r>
          <w:rPr>
            <w:rFonts w:eastAsia="inter" w:cs="inter" w:ascii="inter" w:hAnsi="inter"/>
            <w:color w:val="#000"/>
            <w:sz w:val="21"/>
            <w:u w:val="single"/>
            <w:vertAlign w:val="superscript"/>
          </w:rPr>
          <w:t xml:space="preserve">[4]</w:t>
        </w:r>
      </w:hyperlink>
    </w:p>
    <w:p>
      <w:pPr>
        <w:numPr>
          <w:ilvl w:val="0"/>
          <w:numId w:val="1"/>
        </w:numPr>
        <w:spacing w:line="360" w:before="105" w:after="105" w:lineRule="auto"/>
      </w:pPr>
      <w:r>
        <w:rPr>
          <w:rFonts w:eastAsia="inter" w:cs="inter" w:ascii="inter" w:hAnsi="inter"/>
          <w:color w:val="000000"/>
          <w:sz w:val="21"/>
        </w:rPr>
        <w:t xml:space="preserve">Structural: Māori participation and control at all stages – from defining questions to dissemination and benefit‑sharing.</w:t>
      </w:r>
      <w:bookmarkStart w:id="11" w:name="fnref4_2"/>
      <w:bookmarkEnd w:id="11"/>
      <w:hyperlink w:anchor="fn4">
        <w:r>
          <w:rPr>
            <w:rFonts w:eastAsia="inter" w:cs="inter" w:ascii="inter" w:hAnsi="inter"/>
            <w:color w:val="#000"/>
            <w:sz w:val="21"/>
            <w:u w:val="single"/>
            <w:vertAlign w:val="superscript"/>
          </w:rPr>
          <w:t xml:space="preserve">[4]</w:t>
        </w:r>
      </w:hyperlink>
      <w:bookmarkStart w:id="12" w:name="fnref3_2"/>
      <w:bookmarkEnd w:id="12"/>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color w:val="000000"/>
        </w:rPr>
        <w:t xml:space="preserve">Applied studies show what this looks like in practice. Health projects such as the Pukapuka Hauora asthma study with Māori parents, kaumātua wellbeing interventions, and tāngata kāpō (blind and low‑vision Māori) self‑determination initiatives were all designed as Kaupapa Māori – long‑term relational recruitment via whānau and marae, iterative in‑depth kōrero, and analysis framed through Māori concepts of wellbeing rather than generic biomedical metrics. Social research on Māori precarity, Māori health workforces and Māori perspectives on public accountability similarly use Kaupapa Māori to centre whanaungatanga, co‑design and accountability to iwi, hapū, and kāinga.</w:t>
      </w:r>
      <w:bookmarkStart w:id="13" w:name="fnref6"/>
      <w:bookmarkEnd w:id="13"/>
      <w:hyperlink w:anchor="fn6">
        <w:r>
          <w:rPr>
            <w:rFonts w:eastAsia="inter" w:cs="inter" w:ascii="inter" w:hAnsi="inter"/>
            <w:color w:val="#000"/>
            <w:u w:val="single"/>
            <w:vertAlign w:val="superscript"/>
          </w:rPr>
          <w:t xml:space="preserve">[6]</w:t>
        </w:r>
      </w:hyperlink>
      <w:bookmarkStart w:id="14" w:name="fnref7"/>
      <w:bookmarkEnd w:id="14"/>
      <w:hyperlink w:anchor="fn7">
        <w:r>
          <w:rPr>
            <w:rFonts w:eastAsia="inter" w:cs="inter" w:ascii="inter" w:hAnsi="inter"/>
            <w:color w:val="#000"/>
            <w:u w:val="single"/>
            <w:vertAlign w:val="superscript"/>
          </w:rPr>
          <w:t xml:space="preserve">[7]</w:t>
        </w:r>
      </w:hyperlink>
      <w:bookmarkStart w:id="15" w:name="fnref8"/>
      <w:bookmarkEnd w:id="15"/>
      <w:hyperlink w:anchor="fn8">
        <w:r>
          <w:rPr>
            <w:rFonts w:eastAsia="inter" w:cs="inter" w:ascii="inter" w:hAnsi="inter"/>
            <w:color w:val="#000"/>
            <w:u w:val="single"/>
            <w:vertAlign w:val="superscript"/>
          </w:rPr>
          <w:t xml:space="preserve">[8]</w:t>
        </w:r>
      </w:hyperlink>
      <w:bookmarkStart w:id="16" w:name="fnref9"/>
      <w:bookmarkEnd w:id="16"/>
      <w:hyperlink w:anchor="fn9">
        <w:r>
          <w:rPr>
            <w:rFonts w:eastAsia="inter" w:cs="inter" w:ascii="inter" w:hAnsi="inter"/>
            <w:color w:val="#000"/>
            <w:u w:val="single"/>
            <w:vertAlign w:val="superscript"/>
          </w:rPr>
          <w:t xml:space="preserve">[9]</w:t>
        </w:r>
      </w:hyperlink>
      <w:bookmarkStart w:id="17" w:name="fnref4_3"/>
      <w:bookmarkEnd w:id="17"/>
      <w:hyperlink w:anchor="fn4">
        <w:r>
          <w:rPr>
            <w:rFonts w:eastAsia="inter" w:cs="inter" w:ascii="inter" w:hAnsi="inter"/>
            <w:color w:val="#000"/>
            <w:u w:val="single"/>
            <w:vertAlign w:val="superscript"/>
          </w:rPr>
          <w:t xml:space="preserve">[4]</w:t>
        </w:r>
      </w:hyperlink>
      <w:bookmarkStart w:id="18" w:name="fnref5_1"/>
      <w:bookmarkEnd w:id="18"/>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In short, Kaupapa Māori is a specifically Aotearoa Māori, decolonial, praxis‑oriented framework. It is strongest where:</w:t>
      </w:r>
    </w:p>
    <w:p>
      <w:pPr>
        <w:numPr>
          <w:ilvl w:val="0"/>
          <w:numId w:val="2"/>
        </w:numPr>
        <w:spacing w:line="360" w:before="105" w:after="105" w:lineRule="auto"/>
      </w:pPr>
      <w:r>
        <w:rPr>
          <w:rFonts w:eastAsia="inter" w:cs="inter" w:ascii="inter" w:hAnsi="inter"/>
          <w:color w:val="000000"/>
          <w:sz w:val="21"/>
        </w:rPr>
        <w:t xml:space="preserve">The community, kaupapa, and primary epistemic frame are Māori.</w:t>
      </w:r>
    </w:p>
    <w:p>
      <w:pPr>
        <w:numPr>
          <w:ilvl w:val="0"/>
          <w:numId w:val="2"/>
        </w:numPr>
        <w:spacing w:line="360" w:before="105" w:after="105" w:lineRule="auto"/>
      </w:pPr>
      <w:r>
        <w:rPr>
          <w:rFonts w:eastAsia="inter" w:cs="inter" w:ascii="inter" w:hAnsi="inter"/>
          <w:color w:val="000000"/>
          <w:sz w:val="21"/>
        </w:rPr>
        <w:t xml:space="preserve">The project aims at concrete transformation in Māori health, education, media, housing, labour, environmental governance, etc.</w:t>
      </w:r>
      <w:bookmarkStart w:id="19" w:name="fnref10"/>
      <w:bookmarkEnd w:id="19"/>
      <w:hyperlink w:anchor="fn10">
        <w:r>
          <w:rPr>
            <w:rFonts w:eastAsia="inter" w:cs="inter" w:ascii="inter" w:hAnsi="inter"/>
            <w:color w:val="#000"/>
            <w:sz w:val="21"/>
            <w:u w:val="single"/>
            <w:vertAlign w:val="superscript"/>
          </w:rPr>
          <w:t xml:space="preserve">[10]</w:t>
        </w:r>
      </w:hyperlink>
      <w:bookmarkStart w:id="20" w:name="fnref5_2"/>
      <w:bookmarkEnd w:id="20"/>
      <w:hyperlink w:anchor="fn5">
        <w:r>
          <w:rPr>
            <w:rFonts w:eastAsia="inter" w:cs="inter" w:ascii="inter" w:hAnsi="inter"/>
            <w:color w:val="#000"/>
            <w:sz w:val="21"/>
            <w:u w:val="single"/>
            <w:vertAlign w:val="superscript"/>
          </w:rPr>
          <w:t xml:space="preserve">[5]</w:t>
        </w:r>
      </w:hyperlink>
    </w:p>
    <w:p>
      <w:pPr>
        <w:numPr>
          <w:ilvl w:val="0"/>
          <w:numId w:val="2"/>
        </w:numPr>
        <w:spacing w:line="360" w:before="105" w:after="105" w:lineRule="auto"/>
      </w:pPr>
      <w:r>
        <w:rPr>
          <w:rFonts w:eastAsia="inter" w:cs="inter" w:ascii="inter" w:hAnsi="inter"/>
          <w:color w:val="000000"/>
          <w:sz w:val="21"/>
        </w:rPr>
        <w:t xml:space="preserve">Māori institutional formations (wānanga, iwi organisations, marae collectives, Māori faculties) hold real authority in the research.</w:t>
      </w:r>
    </w:p>
    <w:p>
      <w:pPr>
        <w:spacing w:line="360" w:after="210" w:lineRule="auto"/>
      </w:pPr>
      <w:r>
        <w:rPr>
          <w:rFonts w:eastAsia="inter" w:cs="inter" w:ascii="inter" w:hAnsi="inter"/>
          <w:color w:val="000000"/>
        </w:rPr>
        <w:t xml:space="preserve">Shawn Wilson’s </w:t>
      </w:r>
      <w:r>
        <w:rPr>
          <w:rFonts w:eastAsia="inter" w:cs="inter" w:ascii="inter" w:hAnsi="inter"/>
          <w:i/>
          <w:color w:val="000000"/>
        </w:rPr>
        <w:t xml:space="preserve">Research Is Ceremony</w:t>
      </w:r>
      <w:r>
        <w:rPr>
          <w:rFonts w:eastAsia="inter" w:cs="inter" w:ascii="inter" w:hAnsi="inter"/>
          <w:color w:val="000000"/>
        </w:rPr>
        <w:t xml:space="preserve"> – core features and uses</w:t>
      </w:r>
    </w:p>
    <w:p>
      <w:pPr>
        <w:spacing w:line="360" w:after="210" w:lineRule="auto"/>
      </w:pPr>
      <w:r>
        <w:rPr>
          <w:rFonts w:eastAsia="inter" w:cs="inter" w:ascii="inter" w:hAnsi="inter"/>
          <w:color w:val="000000"/>
        </w:rPr>
        <w:t xml:space="preserve">Shawn Wilson’s </w:t>
      </w:r>
      <w:r>
        <w:rPr>
          <w:rFonts w:eastAsia="inter" w:cs="inter" w:ascii="inter" w:hAnsi="inter"/>
          <w:i/>
          <w:color w:val="000000"/>
        </w:rPr>
        <w:t xml:space="preserve">Research Is Ceremony: Indigenous Research Methods</w:t>
      </w:r>
      <w:r>
        <w:rPr>
          <w:rFonts w:eastAsia="inter" w:cs="inter" w:ascii="inter" w:hAnsi="inter"/>
          <w:color w:val="000000"/>
        </w:rPr>
        <w:t xml:space="preserve"> articulates an Indigenous research paradigm whose central axiom is relationality: “we are our relationships” and “research is ceremony”. Where Kaupapa Māori is anchored in te ao Māori, Wilson offers a more pan‑Indigenous paradigm drawn from Cree experience and conversations with Indigenous scholars in Canada and Australia.</w:t>
      </w:r>
      <w:bookmarkStart w:id="21" w:name="fnref11"/>
      <w:bookmarkEnd w:id="21"/>
      <w:hyperlink w:anchor="fn11">
        <w:r>
          <w:rPr>
            <w:rFonts w:eastAsia="inter" w:cs="inter" w:ascii="inter" w:hAnsi="inter"/>
            <w:color w:val="#000"/>
            <w:u w:val="single"/>
            <w:vertAlign w:val="superscript"/>
          </w:rPr>
          <w:t xml:space="preserve">[11]</w:t>
        </w:r>
      </w:hyperlink>
      <w:bookmarkStart w:id="22" w:name="fnref12"/>
      <w:bookmarkEnd w:id="22"/>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Key elements:</w:t>
      </w:r>
    </w:p>
    <w:p>
      <w:pPr>
        <w:numPr>
          <w:ilvl w:val="0"/>
          <w:numId w:val="3"/>
        </w:numPr>
        <w:spacing w:line="360" w:before="105" w:after="105" w:lineRule="auto"/>
      </w:pPr>
      <w:r>
        <w:rPr>
          <w:rFonts w:eastAsia="inter" w:cs="inter" w:ascii="inter" w:hAnsi="inter"/>
          <w:color w:val="000000"/>
          <w:sz w:val="21"/>
        </w:rPr>
        <w:t xml:space="preserve">Ontology – reality is relationships: between people, land, ancestors, ideas, animals, spirits, future generations.</w:t>
      </w:r>
      <w:bookmarkStart w:id="23" w:name="fnref12_1"/>
      <w:bookmarkEnd w:id="23"/>
      <w:hyperlink w:anchor="fn12">
        <w:r>
          <w:rPr>
            <w:rFonts w:eastAsia="inter" w:cs="inter" w:ascii="inter" w:hAnsi="inter"/>
            <w:color w:val="#000"/>
            <w:sz w:val="21"/>
            <w:u w:val="single"/>
            <w:vertAlign w:val="superscript"/>
          </w:rPr>
          <w:t xml:space="preserve">[12]</w:t>
        </w:r>
      </w:hyperlink>
      <w:bookmarkStart w:id="24" w:name="fnref11_1"/>
      <w:bookmarkEnd w:id="24"/>
      <w:hyperlink w:anchor="fn11">
        <w:r>
          <w:rPr>
            <w:rFonts w:eastAsia="inter" w:cs="inter" w:ascii="inter" w:hAnsi="inter"/>
            <w:color w:val="#000"/>
            <w:sz w:val="21"/>
            <w:u w:val="single"/>
            <w:vertAlign w:val="superscript"/>
          </w:rPr>
          <w:t xml:space="preserve">[11]</w:t>
        </w:r>
      </w:hyperlink>
    </w:p>
    <w:p>
      <w:pPr>
        <w:numPr>
          <w:ilvl w:val="0"/>
          <w:numId w:val="3"/>
        </w:numPr>
        <w:spacing w:line="360" w:before="105" w:after="105" w:lineRule="auto"/>
      </w:pPr>
      <w:r>
        <w:rPr>
          <w:rFonts w:eastAsia="inter" w:cs="inter" w:ascii="inter" w:hAnsi="inter"/>
          <w:color w:val="000000"/>
          <w:sz w:val="21"/>
        </w:rPr>
        <w:t xml:space="preserve">Epistemology – knowing is participating in those relationships; knowledge is not “owned” but held in trust within webs of relation.</w:t>
      </w:r>
      <w:bookmarkStart w:id="25" w:name="fnref13"/>
      <w:bookmarkEnd w:id="25"/>
      <w:hyperlink w:anchor="fn13">
        <w:r>
          <w:rPr>
            <w:rFonts w:eastAsia="inter" w:cs="inter" w:ascii="inter" w:hAnsi="inter"/>
            <w:color w:val="#000"/>
            <w:sz w:val="21"/>
            <w:u w:val="single"/>
            <w:vertAlign w:val="superscript"/>
          </w:rPr>
          <w:t xml:space="preserve">[13]</w:t>
        </w:r>
      </w:hyperlink>
      <w:bookmarkStart w:id="26" w:name="fnref12_2"/>
      <w:bookmarkEnd w:id="26"/>
      <w:hyperlink w:anchor="fn12">
        <w:r>
          <w:rPr>
            <w:rFonts w:eastAsia="inter" w:cs="inter" w:ascii="inter" w:hAnsi="inter"/>
            <w:color w:val="#000"/>
            <w:sz w:val="21"/>
            <w:u w:val="single"/>
            <w:vertAlign w:val="superscript"/>
          </w:rPr>
          <w:t xml:space="preserve">[12]</w:t>
        </w:r>
      </w:hyperlink>
    </w:p>
    <w:p>
      <w:pPr>
        <w:numPr>
          <w:ilvl w:val="0"/>
          <w:numId w:val="3"/>
        </w:numPr>
        <w:spacing w:line="360" w:before="105" w:after="105" w:lineRule="auto"/>
      </w:pPr>
      <w:r>
        <w:rPr>
          <w:rFonts w:eastAsia="inter" w:cs="inter" w:ascii="inter" w:hAnsi="inter"/>
          <w:color w:val="000000"/>
          <w:sz w:val="21"/>
        </w:rPr>
        <w:t xml:space="preserve">Axiology – ethics are about maintaining harmonious, respectful, reciprocal relationships (respect, reciprocity, responsibility).</w:t>
      </w:r>
      <w:bookmarkStart w:id="27" w:name="fnref13_1"/>
      <w:bookmarkEnd w:id="27"/>
      <w:hyperlink w:anchor="fn13">
        <w:r>
          <w:rPr>
            <w:rFonts w:eastAsia="inter" w:cs="inter" w:ascii="inter" w:hAnsi="inter"/>
            <w:color w:val="#000"/>
            <w:sz w:val="21"/>
            <w:u w:val="single"/>
            <w:vertAlign w:val="superscript"/>
          </w:rPr>
          <w:t xml:space="preserve">[13]</w:t>
        </w:r>
      </w:hyperlink>
    </w:p>
    <w:p>
      <w:pPr>
        <w:numPr>
          <w:ilvl w:val="0"/>
          <w:numId w:val="3"/>
        </w:numPr>
        <w:spacing w:line="360" w:before="105" w:after="105" w:lineRule="auto"/>
      </w:pPr>
      <w:r>
        <w:rPr>
          <w:rFonts w:eastAsia="inter" w:cs="inter" w:ascii="inter" w:hAnsi="inter"/>
          <w:color w:val="000000"/>
          <w:sz w:val="21"/>
        </w:rPr>
        <w:t xml:space="preserve">Methodology – research designs must express and protect those relationships; questions, methods, analysis and writing are all accountable to the relationships they affect.</w:t>
      </w:r>
      <w:bookmarkStart w:id="28" w:name="fnref11_2"/>
      <w:bookmarkEnd w:id="28"/>
      <w:hyperlink w:anchor="fn11">
        <w:r>
          <w:rPr>
            <w:rFonts w:eastAsia="inter" w:cs="inter" w:ascii="inter" w:hAnsi="inter"/>
            <w:color w:val="#000"/>
            <w:sz w:val="21"/>
            <w:u w:val="single"/>
            <w:vertAlign w:val="superscript"/>
          </w:rPr>
          <w:t xml:space="preserve">[11]</w:t>
        </w:r>
      </w:hyperlink>
      <w:bookmarkStart w:id="29" w:name="fnref12_3"/>
      <w:bookmarkEnd w:id="29"/>
      <w:hyperlink w:anchor="fn12">
        <w:r>
          <w:rPr>
            <w:rFonts w:eastAsia="inter" w:cs="inter" w:ascii="inter" w:hAnsi="inter"/>
            <w:color w:val="#000"/>
            <w:sz w:val="21"/>
            <w:u w:val="single"/>
            <w:vertAlign w:val="superscript"/>
          </w:rPr>
          <w:t xml:space="preserve">[12]</w:t>
        </w:r>
      </w:hyperlink>
    </w:p>
    <w:p>
      <w:pPr>
        <w:spacing w:line="360" w:after="210" w:lineRule="auto"/>
      </w:pPr>
      <w:r>
        <w:rPr>
          <w:rFonts w:eastAsia="inter" w:cs="inter" w:ascii="inter" w:hAnsi="inter"/>
          <w:color w:val="000000"/>
        </w:rPr>
        <w:t xml:space="preserve">Wilson develops the idea of “relational accountability”: the researcher is accountable to all their relations, including the community, the land, the knowledge itself, and even the ideas they work with. “Method” is secondary; any method (interviews, narrative, quantitative) can be used if it does not violate relational accountability. Ceremony is not just a metaphor: ethics, data collection, analysis, and dissemination are part of a living ceremonial process that keeps relationships in balance.</w:t>
      </w:r>
      <w:bookmarkStart w:id="30" w:name="fnref12_4"/>
      <w:bookmarkEnd w:id="30"/>
      <w:hyperlink w:anchor="fn12">
        <w:r>
          <w:rPr>
            <w:rFonts w:eastAsia="inter" w:cs="inter" w:ascii="inter" w:hAnsi="inter"/>
            <w:color w:val="#000"/>
            <w:u w:val="single"/>
            <w:vertAlign w:val="superscript"/>
          </w:rPr>
          <w:t xml:space="preserve">[12]</w:t>
        </w:r>
      </w:hyperlink>
      <w:bookmarkStart w:id="31" w:name="fnref13_2"/>
      <w:bookmarkEnd w:id="31"/>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The book is itself written as ceremony – as letters to his sons, embedded stories, and shifting narrative voice – modelling how Indigenous research products can break away from detached academic voice while still being rigorous. Subsequent Indigenous methodologies literature cites Wilson extensively as a key reference for relational accountability and ceremony‑as‑research in health, education, environmental governance and arts‑based work.</w:t>
      </w:r>
      <w:bookmarkStart w:id="32" w:name="fnref14"/>
      <w:bookmarkEnd w:id="32"/>
      <w:hyperlink w:anchor="fn14">
        <w:r>
          <w:rPr>
            <w:rFonts w:eastAsia="inter" w:cs="inter" w:ascii="inter" w:hAnsi="inter"/>
            <w:color w:val="#000"/>
            <w:u w:val="single"/>
            <w:vertAlign w:val="superscript"/>
          </w:rPr>
          <w:t xml:space="preserve">[14]</w:t>
        </w:r>
      </w:hyperlink>
      <w:bookmarkStart w:id="33" w:name="fnref15"/>
      <w:bookmarkEnd w:id="33"/>
      <w:hyperlink w:anchor="fn15">
        <w:r>
          <w:rPr>
            <w:rFonts w:eastAsia="inter" w:cs="inter" w:ascii="inter" w:hAnsi="inter"/>
            <w:color w:val="#000"/>
            <w:u w:val="single"/>
            <w:vertAlign w:val="superscript"/>
          </w:rPr>
          <w:t xml:space="preserve">[15]</w:t>
        </w:r>
      </w:hyperlink>
      <w:bookmarkStart w:id="34" w:name="fnref11_3"/>
      <w:bookmarkEnd w:id="34"/>
      <w:hyperlink w:anchor="fn11">
        <w:r>
          <w:rPr>
            <w:rFonts w:eastAsia="inter" w:cs="inter" w:ascii="inter" w:hAnsi="inter"/>
            <w:color w:val="#000"/>
            <w:u w:val="single"/>
            <w:vertAlign w:val="superscript"/>
          </w:rPr>
          <w:t xml:space="preserve">[11]</w:t>
        </w:r>
      </w:hyperlink>
      <w:bookmarkStart w:id="35" w:name="fnref12_5"/>
      <w:bookmarkEnd w:id="35"/>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Wilson’s paradigm is strongest where:</w:t>
      </w:r>
    </w:p>
    <w:p>
      <w:pPr>
        <w:numPr>
          <w:ilvl w:val="0"/>
          <w:numId w:val="4"/>
        </w:numPr>
        <w:spacing w:line="360" w:before="105" w:after="105" w:lineRule="auto"/>
      </w:pPr>
      <w:r>
        <w:rPr>
          <w:rFonts w:eastAsia="inter" w:cs="inter" w:ascii="inter" w:hAnsi="inter"/>
          <w:color w:val="000000"/>
          <w:sz w:val="21"/>
        </w:rPr>
        <w:t xml:space="preserve">The core concern is how to conduct research as a living ceremony, in accountable relation to community, land and ancestors.</w:t>
      </w:r>
    </w:p>
    <w:p>
      <w:pPr>
        <w:numPr>
          <w:ilvl w:val="0"/>
          <w:numId w:val="4"/>
        </w:numPr>
        <w:spacing w:line="360" w:before="105" w:after="105" w:lineRule="auto"/>
      </w:pPr>
      <w:r>
        <w:rPr>
          <w:rFonts w:eastAsia="inter" w:cs="inter" w:ascii="inter" w:hAnsi="inter"/>
          <w:color w:val="000000"/>
          <w:sz w:val="21"/>
        </w:rPr>
        <w:t xml:space="preserve">The project crosses multiple Indigenous and non‑Indigenous contexts (e.g. international, pan‑Indigenous, transdisciplinary) and needs a relational rather than nation‑specific anchor.</w:t>
      </w:r>
    </w:p>
    <w:p>
      <w:pPr>
        <w:numPr>
          <w:ilvl w:val="0"/>
          <w:numId w:val="4"/>
        </w:numPr>
        <w:spacing w:line="360" w:before="105" w:after="105" w:lineRule="auto"/>
      </w:pPr>
      <w:r>
        <w:rPr>
          <w:rFonts w:eastAsia="inter" w:cs="inter" w:ascii="inter" w:hAnsi="inter"/>
          <w:color w:val="000000"/>
          <w:sz w:val="21"/>
        </w:rPr>
        <w:t xml:space="preserve">The medium itself is relational or processual: land‑based education, community co‑design, digital storytelling, participatory tech design, etc.</w:t>
      </w:r>
      <w:bookmarkStart w:id="36" w:name="fnref14_1"/>
      <w:bookmarkEnd w:id="36"/>
      <w:hyperlink w:anchor="fn14">
        <w:r>
          <w:rPr>
            <w:rFonts w:eastAsia="inter" w:cs="inter" w:ascii="inter" w:hAnsi="inter"/>
            <w:color w:val="#000"/>
            <w:sz w:val="21"/>
            <w:u w:val="single"/>
            <w:vertAlign w:val="superscript"/>
          </w:rPr>
          <w:t xml:space="preserve">[14]</w:t>
        </w:r>
      </w:hyperlink>
    </w:p>
    <w:p>
      <w:pPr>
        <w:spacing w:line="360" w:after="210" w:lineRule="auto"/>
      </w:pPr>
      <w:r>
        <w:rPr>
          <w:rFonts w:eastAsia="inter" w:cs="inter" w:ascii="inter" w:hAnsi="inter"/>
          <w:color w:val="000000"/>
        </w:rPr>
        <w:t xml:space="preserve">Commonalities between Kaupapa Māori and Wilson</w:t>
      </w:r>
    </w:p>
    <w:p>
      <w:pPr>
        <w:spacing w:line="360" w:after="210" w:lineRule="auto"/>
      </w:pPr>
      <w:r>
        <w:rPr>
          <w:rFonts w:eastAsia="inter" w:cs="inter" w:ascii="inter" w:hAnsi="inter"/>
          <w:color w:val="000000"/>
        </w:rPr>
        <w:t xml:space="preserve">Substantive overlap is high; in practice, many Māori scholars implicitly work in both frames. Shared commitments include:</w:t>
      </w:r>
    </w:p>
    <w:p>
      <w:pPr>
        <w:numPr>
          <w:ilvl w:val="0"/>
          <w:numId w:val="5"/>
        </w:numPr>
        <w:spacing w:line="360" w:before="105" w:after="105" w:lineRule="auto"/>
      </w:pPr>
      <w:r>
        <w:rPr>
          <w:rFonts w:eastAsia="inter" w:cs="inter" w:ascii="inter" w:hAnsi="inter"/>
          <w:color w:val="000000"/>
          <w:sz w:val="21"/>
        </w:rPr>
        <w:t xml:space="preserve">Indigenous paradigm first: both insist that ontology, epistemology, axiology, and methodology come from Indigenous world views, not just “Indigenised methods” bolted onto Western designs.</w:t>
      </w:r>
      <w:bookmarkStart w:id="37" w:name="fnref1_3"/>
      <w:bookmarkEnd w:id="37"/>
      <w:hyperlink w:anchor="fn1">
        <w:r>
          <w:rPr>
            <w:rFonts w:eastAsia="inter" w:cs="inter" w:ascii="inter" w:hAnsi="inter"/>
            <w:color w:val="#000"/>
            <w:sz w:val="21"/>
            <w:u w:val="single"/>
            <w:vertAlign w:val="superscript"/>
          </w:rPr>
          <w:t xml:space="preserve">[1]</w:t>
        </w:r>
      </w:hyperlink>
      <w:bookmarkStart w:id="38" w:name="fnref12_6"/>
      <w:bookmarkEnd w:id="38"/>
      <w:hyperlink w:anchor="fn12">
        <w:r>
          <w:rPr>
            <w:rFonts w:eastAsia="inter" w:cs="inter" w:ascii="inter" w:hAnsi="inter"/>
            <w:color w:val="#000"/>
            <w:sz w:val="21"/>
            <w:u w:val="single"/>
            <w:vertAlign w:val="superscript"/>
          </w:rPr>
          <w:t xml:space="preserve">[12]</w:t>
        </w:r>
      </w:hyperlink>
    </w:p>
    <w:p>
      <w:pPr>
        <w:numPr>
          <w:ilvl w:val="0"/>
          <w:numId w:val="5"/>
        </w:numPr>
        <w:spacing w:line="360" w:before="105" w:after="105" w:lineRule="auto"/>
      </w:pPr>
      <w:r>
        <w:rPr>
          <w:rFonts w:eastAsia="inter" w:cs="inter" w:ascii="inter" w:hAnsi="inter"/>
          <w:color w:val="000000"/>
          <w:sz w:val="21"/>
        </w:rPr>
        <w:t xml:space="preserve">Decolonising purpose: both respond directly to extractive, racist research histories. Research must benefit Indigenous peoples, restore control over knowledge, and resist deficit framings.</w:t>
      </w:r>
      <w:bookmarkStart w:id="39" w:name="fnref3_3"/>
      <w:bookmarkEnd w:id="39"/>
      <w:hyperlink w:anchor="fn3">
        <w:r>
          <w:rPr>
            <w:rFonts w:eastAsia="inter" w:cs="inter" w:ascii="inter" w:hAnsi="inter"/>
            <w:color w:val="#000"/>
            <w:sz w:val="21"/>
            <w:u w:val="single"/>
            <w:vertAlign w:val="superscript"/>
          </w:rPr>
          <w:t xml:space="preserve">[3]</w:t>
        </w:r>
      </w:hyperlink>
      <w:bookmarkStart w:id="40" w:name="fnref14_2"/>
      <w:bookmarkEnd w:id="40"/>
      <w:hyperlink w:anchor="fn14">
        <w:r>
          <w:rPr>
            <w:rFonts w:eastAsia="inter" w:cs="inter" w:ascii="inter" w:hAnsi="inter"/>
            <w:color w:val="#000"/>
            <w:sz w:val="21"/>
            <w:u w:val="single"/>
            <w:vertAlign w:val="superscript"/>
          </w:rPr>
          <w:t xml:space="preserve">[14]</w:t>
        </w:r>
      </w:hyperlink>
      <w:bookmarkStart w:id="41" w:name="fnref1_4"/>
      <w:bookmarkEnd w:id="41"/>
      <w:hyperlink w:anchor="fn1">
        <w:r>
          <w:rPr>
            <w:rFonts w:eastAsia="inter" w:cs="inter" w:ascii="inter" w:hAnsi="inter"/>
            <w:color w:val="#000"/>
            <w:sz w:val="21"/>
            <w:u w:val="single"/>
            <w:vertAlign w:val="superscript"/>
          </w:rPr>
          <w:t xml:space="preserve">[1]</w:t>
        </w:r>
      </w:hyperlink>
    </w:p>
    <w:p>
      <w:pPr>
        <w:numPr>
          <w:ilvl w:val="0"/>
          <w:numId w:val="5"/>
        </w:numPr>
        <w:spacing w:line="360" w:before="105" w:after="105" w:lineRule="auto"/>
      </w:pPr>
      <w:r>
        <w:rPr>
          <w:rFonts w:eastAsia="inter" w:cs="inter" w:ascii="inter" w:hAnsi="inter"/>
          <w:color w:val="000000"/>
          <w:sz w:val="21"/>
        </w:rPr>
        <w:t xml:space="preserve">Relational ethics: Kaupapa Māori ethics (aroha, manaakitanga, whanaungatanga, kia tūpato) and Wilson’s relational accountability (respect, reciprocity, responsibility) converge on relationship‑first ethics.</w:t>
      </w:r>
      <w:bookmarkStart w:id="42" w:name="fnref4_4"/>
      <w:bookmarkEnd w:id="42"/>
      <w:hyperlink w:anchor="fn4">
        <w:r>
          <w:rPr>
            <w:rFonts w:eastAsia="inter" w:cs="inter" w:ascii="inter" w:hAnsi="inter"/>
            <w:color w:val="#000"/>
            <w:sz w:val="21"/>
            <w:u w:val="single"/>
            <w:vertAlign w:val="superscript"/>
          </w:rPr>
          <w:t xml:space="preserve">[4]</w:t>
        </w:r>
      </w:hyperlink>
      <w:bookmarkStart w:id="43" w:name="fnref13_3"/>
      <w:bookmarkEnd w:id="43"/>
      <w:hyperlink w:anchor="fn13">
        <w:r>
          <w:rPr>
            <w:rFonts w:eastAsia="inter" w:cs="inter" w:ascii="inter" w:hAnsi="inter"/>
            <w:color w:val="#000"/>
            <w:sz w:val="21"/>
            <w:u w:val="single"/>
            <w:vertAlign w:val="superscript"/>
          </w:rPr>
          <w:t xml:space="preserve">[13]</w:t>
        </w:r>
      </w:hyperlink>
    </w:p>
    <w:p>
      <w:pPr>
        <w:numPr>
          <w:ilvl w:val="0"/>
          <w:numId w:val="5"/>
        </w:numPr>
        <w:spacing w:line="360" w:before="105" w:after="105" w:lineRule="auto"/>
      </w:pPr>
      <w:r>
        <w:rPr>
          <w:rFonts w:eastAsia="inter" w:cs="inter" w:ascii="inter" w:hAnsi="inter"/>
          <w:color w:val="000000"/>
          <w:sz w:val="21"/>
        </w:rPr>
        <w:t xml:space="preserve">Community control and benefit: both emphasise Indigenous participation in defining questions, methods, analysis and dissemination, and insist that research should strengthen community capacity and self‑determination.</w:t>
      </w:r>
      <w:bookmarkStart w:id="44" w:name="fnref9_1"/>
      <w:bookmarkEnd w:id="44"/>
      <w:hyperlink w:anchor="fn9">
        <w:r>
          <w:rPr>
            <w:rFonts w:eastAsia="inter" w:cs="inter" w:ascii="inter" w:hAnsi="inter"/>
            <w:color w:val="#000"/>
            <w:sz w:val="21"/>
            <w:u w:val="single"/>
            <w:vertAlign w:val="superscript"/>
          </w:rPr>
          <w:t xml:space="preserve">[9]</w:t>
        </w:r>
      </w:hyperlink>
      <w:bookmarkStart w:id="45" w:name="fnref10_1"/>
      <w:bookmarkEnd w:id="45"/>
      <w:hyperlink w:anchor="fn10">
        <w:r>
          <w:rPr>
            <w:rFonts w:eastAsia="inter" w:cs="inter" w:ascii="inter" w:hAnsi="inter"/>
            <w:color w:val="#000"/>
            <w:sz w:val="21"/>
            <w:u w:val="single"/>
            <w:vertAlign w:val="superscript"/>
          </w:rPr>
          <w:t xml:space="preserve">[10]</w:t>
        </w:r>
      </w:hyperlink>
      <w:bookmarkStart w:id="46" w:name="fnref3_4"/>
      <w:bookmarkEnd w:id="46"/>
      <w:hyperlink w:anchor="fn3">
        <w:r>
          <w:rPr>
            <w:rFonts w:eastAsia="inter" w:cs="inter" w:ascii="inter" w:hAnsi="inter"/>
            <w:color w:val="#000"/>
            <w:sz w:val="21"/>
            <w:u w:val="single"/>
            <w:vertAlign w:val="superscript"/>
          </w:rPr>
          <w:t xml:space="preserve">[3]</w:t>
        </w:r>
      </w:hyperlink>
    </w:p>
    <w:p>
      <w:pPr>
        <w:numPr>
          <w:ilvl w:val="0"/>
          <w:numId w:val="5"/>
        </w:numPr>
        <w:spacing w:line="360" w:before="105" w:after="105" w:lineRule="auto"/>
      </w:pPr>
      <w:r>
        <w:rPr>
          <w:rFonts w:eastAsia="inter" w:cs="inter" w:ascii="inter" w:hAnsi="inter"/>
          <w:color w:val="000000"/>
          <w:sz w:val="21"/>
        </w:rPr>
        <w:t xml:space="preserve">Flexibility of methods: neither prescribes fixed techniques; interviews, hui, pūrākau/storywork, surveys, or even mixed‑methods designs are acceptable as long as they serve the paradigm and relationships.</w:t>
      </w:r>
      <w:bookmarkStart w:id="47" w:name="fnref16"/>
      <w:bookmarkEnd w:id="47"/>
      <w:hyperlink w:anchor="fn16">
        <w:r>
          <w:rPr>
            <w:rFonts w:eastAsia="inter" w:cs="inter" w:ascii="inter" w:hAnsi="inter"/>
            <w:color w:val="#000"/>
            <w:sz w:val="21"/>
            <w:u w:val="single"/>
            <w:vertAlign w:val="superscript"/>
          </w:rPr>
          <w:t xml:space="preserve">[16]</w:t>
        </w:r>
      </w:hyperlink>
      <w:bookmarkStart w:id="48" w:name="fnref6_1"/>
      <w:bookmarkEnd w:id="48"/>
      <w:hyperlink w:anchor="fn6">
        <w:r>
          <w:rPr>
            <w:rFonts w:eastAsia="inter" w:cs="inter" w:ascii="inter" w:hAnsi="inter"/>
            <w:color w:val="#000"/>
            <w:sz w:val="21"/>
            <w:u w:val="single"/>
            <w:vertAlign w:val="superscript"/>
          </w:rPr>
          <w:t xml:space="preserve">[6]</w:t>
        </w:r>
      </w:hyperlink>
      <w:bookmarkStart w:id="49" w:name="fnref14_3"/>
      <w:bookmarkEnd w:id="49"/>
      <w:hyperlink w:anchor="fn14">
        <w:r>
          <w:rPr>
            <w:rFonts w:eastAsia="inter" w:cs="inter" w:ascii="inter" w:hAnsi="inter"/>
            <w:color w:val="#000"/>
            <w:sz w:val="21"/>
            <w:u w:val="single"/>
            <w:vertAlign w:val="superscript"/>
          </w:rPr>
          <w:t xml:space="preserve">[14]</w:t>
        </w:r>
      </w:hyperlink>
    </w:p>
    <w:p>
      <w:pPr>
        <w:spacing w:line="360" w:after="210" w:lineRule="auto"/>
      </w:pPr>
      <w:r>
        <w:rPr>
          <w:rFonts w:eastAsia="inter" w:cs="inter" w:ascii="inter" w:hAnsi="inter"/>
          <w:color w:val="000000"/>
        </w:rPr>
        <w:t xml:space="preserve">So philosophically, Wilson’s paradigm and Kaupapa Māori sit in the same “family”: they are compatible and in many projects can and do operate together.</w:t>
      </w:r>
    </w:p>
    <w:p>
      <w:pPr>
        <w:spacing w:line="360" w:after="210" w:lineRule="auto"/>
      </w:pPr>
      <w:r>
        <w:rPr>
          <w:rFonts w:eastAsia="inter" w:cs="inter" w:ascii="inter" w:hAnsi="inter"/>
          <w:color w:val="000000"/>
        </w:rPr>
        <w:t xml:space="preserve">Key differences / particularities</w:t>
      </w:r>
    </w:p>
    <w:p>
      <w:pPr>
        <w:numPr>
          <w:ilvl w:val="0"/>
          <w:numId w:val="6"/>
        </w:numPr>
        <w:spacing w:line="360" w:before="105" w:after="105" w:lineRule="auto"/>
      </w:pPr>
      <w:r>
        <w:rPr>
          <w:rFonts w:eastAsia="inter" w:cs="inter" w:ascii="inter" w:hAnsi="inter"/>
          <w:color w:val="000000"/>
          <w:sz w:val="21"/>
        </w:rPr>
        <w:t xml:space="preserve">Scope and location</w:t>
      </w:r>
    </w:p>
    <w:p>
      <w:pPr>
        <w:numPr>
          <w:ilvl w:val="0"/>
          <w:numId w:val="7"/>
        </w:numPr>
        <w:spacing w:line="360" w:after="210" w:lineRule="auto"/>
      </w:pPr>
      <w:r>
        <w:rPr>
          <w:rFonts w:eastAsia="inter" w:cs="inter" w:ascii="inter" w:hAnsi="inter"/>
          <w:color w:val="000000"/>
          <w:sz w:val="21"/>
        </w:rPr>
        <w:t xml:space="preserve">Kaupapa Māori is intentionally specific to Māori contexts in Aotearoa. It is tied to te reo, whakapapa, iwi/hapū structures, Treaty histories, and local struggles over education, health, justice and land.</w:t>
      </w:r>
      <w:bookmarkStart w:id="50" w:name="fnref2_2"/>
      <w:bookmarkEnd w:id="50"/>
      <w:hyperlink w:anchor="fn2">
        <w:r>
          <w:rPr>
            <w:rFonts w:eastAsia="inter" w:cs="inter" w:ascii="inter" w:hAnsi="inter"/>
            <w:color w:val="#000"/>
            <w:sz w:val="21"/>
            <w:u w:val="single"/>
            <w:vertAlign w:val="superscript"/>
          </w:rPr>
          <w:t xml:space="preserve">[2]</w:t>
        </w:r>
      </w:hyperlink>
      <w:bookmarkStart w:id="51" w:name="fnref1_5"/>
      <w:bookmarkEnd w:id="51"/>
      <w:hyperlink w:anchor="fn1">
        <w:r>
          <w:rPr>
            <w:rFonts w:eastAsia="inter" w:cs="inter" w:ascii="inter" w:hAnsi="inter"/>
            <w:color w:val="#000"/>
            <w:sz w:val="21"/>
            <w:u w:val="single"/>
            <w:vertAlign w:val="superscript"/>
          </w:rPr>
          <w:t xml:space="preserve">[1]</w:t>
        </w:r>
      </w:hyperlink>
    </w:p>
    <w:p>
      <w:pPr>
        <w:numPr>
          <w:ilvl w:val="0"/>
          <w:numId w:val="7"/>
        </w:numPr>
        <w:spacing w:line="360" w:after="210" w:lineRule="auto"/>
      </w:pPr>
      <w:r>
        <w:rPr>
          <w:rFonts w:eastAsia="inter" w:cs="inter" w:ascii="inter" w:hAnsi="inter"/>
          <w:color w:val="000000"/>
          <w:sz w:val="21"/>
        </w:rPr>
        <w:t xml:space="preserve">Wilson’s paradigm is trans‑local and more generically “Indigenous”, built from Cree experience but explicitly framed as a paradigm that Indigenous scholars in Canada and Australia recognise themselves in. It is more easily exported across Indigenous nations where local political projects differ but relationality is shared.</w:t>
      </w:r>
      <w:bookmarkStart w:id="52" w:name="fnref12_7"/>
      <w:bookmarkEnd w:id="52"/>
      <w:hyperlink w:anchor="fn12">
        <w:r>
          <w:rPr>
            <w:rFonts w:eastAsia="inter" w:cs="inter" w:ascii="inter" w:hAnsi="inter"/>
            <w:color w:val="#000"/>
            <w:sz w:val="21"/>
            <w:u w:val="single"/>
            <w:vertAlign w:val="superscript"/>
          </w:rPr>
          <w:t xml:space="preserve">[12]</w:t>
        </w:r>
      </w:hyperlink>
    </w:p>
    <w:p>
      <w:pPr>
        <w:spacing w:line="360" w:after="210" w:lineRule="auto"/>
      </w:pPr>
      <w:r>
        <w:rPr>
          <w:rFonts w:eastAsia="inter" w:cs="inter" w:ascii="inter" w:hAnsi="inter"/>
          <w:color w:val="000000"/>
        </w:rPr>
        <w:t xml:space="preserve">Implication:</w:t>
      </w:r>
      <w:r>
        <w:rPr>
          <w:rFonts w:eastAsia="inter" w:cs="inter" w:ascii="inter" w:hAnsi="inter"/>
          <w:color w:val="000000"/>
        </w:rPr>
        <w:br w:type="textWrapping"/>
      </w:r>
      <w:r>
        <w:rPr>
          <w:rFonts w:eastAsia="inter" w:cs="inter" w:ascii="inter" w:hAnsi="inter"/>
          <w:color w:val="000000"/>
        </w:rPr>
        <w:t xml:space="preserve">For a Waikato‑based project with Māori communities, Kaupapa Māori is non‑optional and should be primary; Wilson helps articulate and deepen the philosophical grounding and can become the language you use when connecting your work to broader Indigenous conversations beyond Aotearoa.</w:t>
      </w:r>
    </w:p>
    <w:p>
      <w:pPr>
        <w:numPr>
          <w:ilvl w:val="0"/>
          <w:numId w:val="8"/>
        </w:numPr>
        <w:spacing w:line="360" w:before="105" w:after="105" w:lineRule="auto"/>
      </w:pPr>
      <w:r>
        <w:rPr>
          <w:rFonts w:eastAsia="inter" w:cs="inter" w:ascii="inter" w:hAnsi="inter"/>
          <w:color w:val="000000"/>
          <w:sz w:val="21"/>
        </w:rPr>
        <w:t xml:space="preserve">Political edge vs metaphysical articulation</w:t>
      </w:r>
    </w:p>
    <w:p>
      <w:pPr>
        <w:numPr>
          <w:ilvl w:val="0"/>
          <w:numId w:val="9"/>
        </w:numPr>
        <w:spacing w:line="360" w:after="210" w:lineRule="auto"/>
      </w:pPr>
      <w:r>
        <w:rPr>
          <w:rFonts w:eastAsia="inter" w:cs="inter" w:ascii="inter" w:hAnsi="inter"/>
          <w:color w:val="000000"/>
          <w:sz w:val="21"/>
        </w:rPr>
        <w:t xml:space="preserve">Kaupapa Māori, particularly in Smith’s work, is sharply political: colonisation, imperialism, knowledge as a tool of domination, and research as part of Māori struggles for tino rangatiratanga.</w:t>
      </w:r>
      <w:bookmarkStart w:id="53" w:name="fnref1_6"/>
      <w:bookmarkEnd w:id="53"/>
      <w:hyperlink w:anchor="fn1">
        <w:r>
          <w:rPr>
            <w:rFonts w:eastAsia="inter" w:cs="inter" w:ascii="inter" w:hAnsi="inter"/>
            <w:color w:val="#000"/>
            <w:sz w:val="21"/>
            <w:u w:val="single"/>
            <w:vertAlign w:val="superscript"/>
          </w:rPr>
          <w:t xml:space="preserve">[1]</w:t>
        </w:r>
      </w:hyperlink>
    </w:p>
    <w:p>
      <w:pPr>
        <w:numPr>
          <w:ilvl w:val="0"/>
          <w:numId w:val="9"/>
        </w:numPr>
        <w:spacing w:line="360" w:after="210" w:lineRule="auto"/>
      </w:pPr>
      <w:r>
        <w:rPr>
          <w:rFonts w:eastAsia="inter" w:cs="inter" w:ascii="inter" w:hAnsi="inter"/>
          <w:color w:val="000000"/>
          <w:sz w:val="21"/>
        </w:rPr>
        <w:t xml:space="preserve">Wilson foregrounds the metaphysics and ethics of relationality and ceremony more than the institutional politics of decolonisation; colonial critique is present, but less the central organising thread than “all my relations”.</w:t>
      </w:r>
      <w:bookmarkStart w:id="54" w:name="fnref11_4"/>
      <w:bookmarkEnd w:id="54"/>
      <w:hyperlink w:anchor="fn11">
        <w:r>
          <w:rPr>
            <w:rFonts w:eastAsia="inter" w:cs="inter" w:ascii="inter" w:hAnsi="inter"/>
            <w:color w:val="#000"/>
            <w:sz w:val="21"/>
            <w:u w:val="single"/>
            <w:vertAlign w:val="superscript"/>
          </w:rPr>
          <w:t xml:space="preserve">[11]</w:t>
        </w:r>
      </w:hyperlink>
      <w:bookmarkStart w:id="55" w:name="fnref12_8"/>
      <w:bookmarkEnd w:id="55"/>
      <w:hyperlink w:anchor="fn12">
        <w:r>
          <w:rPr>
            <w:rFonts w:eastAsia="inter" w:cs="inter" w:ascii="inter" w:hAnsi="inter"/>
            <w:color w:val="#000"/>
            <w:sz w:val="21"/>
            <w:u w:val="single"/>
            <w:vertAlign w:val="superscript"/>
          </w:rPr>
          <w:t xml:space="preserve">[12]</w:t>
        </w:r>
      </w:hyperlink>
    </w:p>
    <w:p>
      <w:pPr>
        <w:spacing w:line="360" w:after="210" w:lineRule="auto"/>
      </w:pPr>
      <w:r>
        <w:rPr>
          <w:rFonts w:eastAsia="inter" w:cs="inter" w:ascii="inter" w:hAnsi="inter"/>
          <w:color w:val="000000"/>
        </w:rPr>
        <w:t xml:space="preserve">Implication:</w:t>
      </w:r>
      <w:r>
        <w:rPr>
          <w:rFonts w:eastAsia="inter" w:cs="inter" w:ascii="inter" w:hAnsi="inter"/>
          <w:color w:val="000000"/>
        </w:rPr>
        <w:br w:type="textWrapping"/>
      </w:r>
      <w:r>
        <w:rPr>
          <w:rFonts w:eastAsia="inter" w:cs="inter" w:ascii="inter" w:hAnsi="inter"/>
          <w:color w:val="000000"/>
        </w:rPr>
        <w:t xml:space="preserve">If a thesis must directly theorise and intervene in education policy, health systems, extractive data regimes, or state law in Aotearoa, Kaupapa Māori gives you sharper tools for critiquing and redesigning institutions. Wilson is especially powerful when articulating the philosophical basis of why research and design must be ceremonial and relational – ideal when you’re building new systems or practices and want to ground them ontologically.</w:t>
      </w:r>
    </w:p>
    <w:p>
      <w:pPr>
        <w:numPr>
          <w:ilvl w:val="0"/>
          <w:numId w:val="10"/>
        </w:numPr>
        <w:spacing w:line="360" w:before="105" w:after="105" w:lineRule="auto"/>
      </w:pPr>
      <w:r>
        <w:rPr>
          <w:rFonts w:eastAsia="inter" w:cs="inter" w:ascii="inter" w:hAnsi="inter"/>
          <w:color w:val="000000"/>
          <w:sz w:val="21"/>
        </w:rPr>
        <w:t xml:space="preserve">Methodological elaboration vs paradigm narrative</w:t>
      </w:r>
    </w:p>
    <w:p>
      <w:pPr>
        <w:numPr>
          <w:ilvl w:val="0"/>
          <w:numId w:val="11"/>
        </w:numPr>
        <w:spacing w:line="360" w:after="210" w:lineRule="auto"/>
      </w:pPr>
      <w:r>
        <w:rPr>
          <w:rFonts w:eastAsia="inter" w:cs="inter" w:ascii="inter" w:hAnsi="inter"/>
          <w:color w:val="000000"/>
          <w:sz w:val="21"/>
        </w:rPr>
        <w:t xml:space="preserve">Kaupapa Māori literature has accumulated detailed methodological principles (whanaungatanga, manaakitanga, koha, kanohi kitea, mā te Māori etc.) that are concrete enough to operationalise in ethics protocols, recruitment, data collection and analysis.</w:t>
      </w:r>
      <w:bookmarkStart w:id="56" w:name="fnref17"/>
      <w:bookmarkEnd w:id="56"/>
      <w:hyperlink w:anchor="fn17">
        <w:r>
          <w:rPr>
            <w:rFonts w:eastAsia="inter" w:cs="inter" w:ascii="inter" w:hAnsi="inter"/>
            <w:color w:val="#000"/>
            <w:sz w:val="21"/>
            <w:u w:val="single"/>
            <w:vertAlign w:val="superscript"/>
          </w:rPr>
          <w:t xml:space="preserve">[17]</w:t>
        </w:r>
      </w:hyperlink>
      <w:bookmarkStart w:id="57" w:name="fnref3_5"/>
      <w:bookmarkEnd w:id="57"/>
      <w:hyperlink w:anchor="fn3">
        <w:r>
          <w:rPr>
            <w:rFonts w:eastAsia="inter" w:cs="inter" w:ascii="inter" w:hAnsi="inter"/>
            <w:color w:val="#000"/>
            <w:sz w:val="21"/>
            <w:u w:val="single"/>
            <w:vertAlign w:val="superscript"/>
          </w:rPr>
          <w:t xml:space="preserve">[3]</w:t>
        </w:r>
      </w:hyperlink>
      <w:bookmarkStart w:id="58" w:name="fnref4_5"/>
      <w:bookmarkEnd w:id="58"/>
      <w:hyperlink w:anchor="fn4">
        <w:r>
          <w:rPr>
            <w:rFonts w:eastAsia="inter" w:cs="inter" w:ascii="inter" w:hAnsi="inter"/>
            <w:color w:val="#000"/>
            <w:sz w:val="21"/>
            <w:u w:val="single"/>
            <w:vertAlign w:val="superscript"/>
          </w:rPr>
          <w:t xml:space="preserve">[4]</w:t>
        </w:r>
      </w:hyperlink>
    </w:p>
    <w:p>
      <w:pPr>
        <w:numPr>
          <w:ilvl w:val="0"/>
          <w:numId w:val="11"/>
        </w:numPr>
        <w:spacing w:line="360" w:after="210" w:lineRule="auto"/>
      </w:pPr>
      <w:r>
        <w:rPr>
          <w:rFonts w:eastAsia="inter" w:cs="inter" w:ascii="inter" w:hAnsi="inter"/>
          <w:i/>
          <w:color w:val="000000"/>
          <w:sz w:val="21"/>
        </w:rPr>
        <w:t xml:space="preserve">Research Is Ceremony</w:t>
      </w:r>
      <w:r>
        <w:rPr>
          <w:rFonts w:eastAsia="inter" w:cs="inter" w:ascii="inter" w:hAnsi="inter"/>
          <w:color w:val="000000"/>
          <w:sz w:val="21"/>
        </w:rPr>
        <w:t xml:space="preserve"> offers fewer “checklists” and more narrative exemplars of practicing relational accountability; it is less of a procedural manual, more of a paradigm‑shifting conversation.</w:t>
      </w:r>
      <w:bookmarkStart w:id="59" w:name="fnref15_1"/>
      <w:bookmarkEnd w:id="59"/>
      <w:hyperlink w:anchor="fn15">
        <w:r>
          <w:rPr>
            <w:rFonts w:eastAsia="inter" w:cs="inter" w:ascii="inter" w:hAnsi="inter"/>
            <w:color w:val="#000"/>
            <w:sz w:val="21"/>
            <w:u w:val="single"/>
            <w:vertAlign w:val="superscript"/>
          </w:rPr>
          <w:t xml:space="preserve">[15]</w:t>
        </w:r>
      </w:hyperlink>
      <w:bookmarkStart w:id="60" w:name="fnref11_5"/>
      <w:bookmarkEnd w:id="60"/>
      <w:hyperlink w:anchor="fn11">
        <w:r>
          <w:rPr>
            <w:rFonts w:eastAsia="inter" w:cs="inter" w:ascii="inter" w:hAnsi="inter"/>
            <w:color w:val="#000"/>
            <w:sz w:val="21"/>
            <w:u w:val="single"/>
            <w:vertAlign w:val="superscript"/>
          </w:rPr>
          <w:t xml:space="preserve">[11]</w:t>
        </w:r>
      </w:hyperlink>
    </w:p>
    <w:p>
      <w:pPr>
        <w:spacing w:line="360" w:after="210" w:lineRule="auto"/>
      </w:pPr>
      <w:r>
        <w:rPr>
          <w:rFonts w:eastAsia="inter" w:cs="inter" w:ascii="inter" w:hAnsi="inter"/>
          <w:color w:val="000000"/>
        </w:rPr>
        <w:t xml:space="preserve">Implication:</w:t>
      </w:r>
      <w:r>
        <w:rPr>
          <w:rFonts w:eastAsia="inter" w:cs="inter" w:ascii="inter" w:hAnsi="inter"/>
          <w:color w:val="000000"/>
        </w:rPr>
        <w:br w:type="textWrapping"/>
      </w:r>
      <w:r>
        <w:rPr>
          <w:rFonts w:eastAsia="inter" w:cs="inter" w:ascii="inter" w:hAnsi="inter"/>
          <w:color w:val="000000"/>
        </w:rPr>
        <w:t xml:space="preserve">For ethics applications, university risk committees, and multi‑stakeholder MoUs, Kaupapa Māori’s principle sets and precedents in health, education and social research are tactically useful. Wilson’s work is invaluable to keep the ceremony alive – preventing the paradigm from being reduced to a tick‑box cultural‑safety framework.</w:t>
      </w:r>
      <w:bookmarkStart w:id="61" w:name="fnref7_1"/>
      <w:bookmarkEnd w:id="61"/>
      <w:hyperlink w:anchor="fn7">
        <w:r>
          <w:rPr>
            <w:rFonts w:eastAsia="inter" w:cs="inter" w:ascii="inter" w:hAnsi="inter"/>
            <w:color w:val="#000"/>
            <w:u w:val="single"/>
            <w:vertAlign w:val="superscript"/>
          </w:rPr>
          <w:t xml:space="preserve">[7]</w:t>
        </w:r>
      </w:hyperlink>
      <w:bookmarkStart w:id="62" w:name="fnref10_2"/>
      <w:bookmarkEnd w:id="62"/>
      <w:hyperlink w:anchor="fn10">
        <w:r>
          <w:rPr>
            <w:rFonts w:eastAsia="inter" w:cs="inter" w:ascii="inter" w:hAnsi="inter"/>
            <w:color w:val="#000"/>
            <w:u w:val="single"/>
            <w:vertAlign w:val="superscript"/>
          </w:rPr>
          <w:t xml:space="preserve">[10]</w:t>
        </w:r>
      </w:hyperlink>
      <w:bookmarkStart w:id="63" w:name="fnref6_2"/>
      <w:bookmarkEnd w:id="63"/>
      <w:hyperlink w:anchor="fn6">
        <w:r>
          <w:rPr>
            <w:rFonts w:eastAsia="inter" w:cs="inter" w:ascii="inter" w:hAnsi="inter"/>
            <w:color w:val="#000"/>
            <w:u w:val="single"/>
            <w:vertAlign w:val="superscript"/>
          </w:rPr>
          <w:t xml:space="preserve">[6]</w:t>
        </w:r>
      </w:hyperlink>
    </w:p>
    <w:p>
      <w:pPr>
        <w:numPr>
          <w:ilvl w:val="0"/>
          <w:numId w:val="12"/>
        </w:numPr>
        <w:spacing w:line="360" w:before="105" w:after="105" w:lineRule="auto"/>
      </w:pPr>
      <w:r>
        <w:rPr>
          <w:rFonts w:eastAsia="inter" w:cs="inter" w:ascii="inter" w:hAnsi="inter"/>
          <w:color w:val="000000"/>
          <w:sz w:val="21"/>
        </w:rPr>
        <w:t xml:space="preserve">Nation‑specific tikanga vs cross‑context AI/media applications</w:t>
      </w:r>
    </w:p>
    <w:p>
      <w:pPr>
        <w:spacing w:line="360" w:after="210" w:lineRule="auto"/>
      </w:pPr>
      <w:r>
        <w:rPr>
          <w:rFonts w:eastAsia="inter" w:cs="inter" w:ascii="inter" w:hAnsi="inter"/>
          <w:color w:val="000000"/>
        </w:rPr>
        <w:t xml:space="preserve">For AI/media/storytelling systems:</w:t>
      </w:r>
    </w:p>
    <w:p>
      <w:pPr>
        <w:numPr>
          <w:ilvl w:val="0"/>
          <w:numId w:val="13"/>
        </w:numPr>
        <w:spacing w:line="360" w:after="210" w:lineRule="auto"/>
      </w:pPr>
      <w:r>
        <w:rPr>
          <w:rFonts w:eastAsia="inter" w:cs="inter" w:ascii="inter" w:hAnsi="inter"/>
          <w:color w:val="000000"/>
          <w:sz w:val="21"/>
        </w:rPr>
        <w:t xml:space="preserve">Kaupapa Māori can specify precisely how data classification, interface design, narrative structures and governance should embed tikanga, whakapapa relations and Te Tiriti commitments in Aotearoa.</w:t>
      </w:r>
      <w:bookmarkStart w:id="64" w:name="fnref18"/>
      <w:bookmarkEnd w:id="64"/>
      <w:hyperlink w:anchor="fn18">
        <w:r>
          <w:rPr>
            <w:rFonts w:eastAsia="inter" w:cs="inter" w:ascii="inter" w:hAnsi="inter"/>
            <w:color w:val="#000"/>
            <w:sz w:val="21"/>
            <w:u w:val="single"/>
            <w:vertAlign w:val="superscript"/>
          </w:rPr>
          <w:t xml:space="preserve">[18]</w:t>
        </w:r>
      </w:hyperlink>
      <w:bookmarkStart w:id="65" w:name="fnref14_4"/>
      <w:bookmarkEnd w:id="65"/>
      <w:hyperlink w:anchor="fn14">
        <w:r>
          <w:rPr>
            <w:rFonts w:eastAsia="inter" w:cs="inter" w:ascii="inter" w:hAnsi="inter"/>
            <w:color w:val="#000"/>
            <w:sz w:val="21"/>
            <w:u w:val="single"/>
            <w:vertAlign w:val="superscript"/>
          </w:rPr>
          <w:t xml:space="preserve">[14]</w:t>
        </w:r>
      </w:hyperlink>
    </w:p>
    <w:p>
      <w:pPr>
        <w:numPr>
          <w:ilvl w:val="0"/>
          <w:numId w:val="13"/>
        </w:numPr>
        <w:spacing w:line="360" w:after="210" w:lineRule="auto"/>
      </w:pPr>
      <w:r>
        <w:rPr>
          <w:rFonts w:eastAsia="inter" w:cs="inter" w:ascii="inter" w:hAnsi="inter"/>
          <w:color w:val="000000"/>
          <w:sz w:val="21"/>
        </w:rPr>
        <w:t xml:space="preserve">Wilson’s paradigm can guide how AI systems more generally (across nations) should enact relational accountability – for example, how an AI “agent” participates in ceremony, how it is accountable to communities, how it “returns” benefits, and how code itself is part of a ceremonial process.</w:t>
      </w:r>
    </w:p>
    <w:p>
      <w:pPr>
        <w:spacing w:line="360" w:after="210" w:lineRule="auto"/>
      </w:pPr>
      <w:r>
        <w:rPr>
          <w:rFonts w:eastAsia="inter" w:cs="inter" w:ascii="inter" w:hAnsi="inter"/>
          <w:color w:val="000000"/>
        </w:rPr>
        <w:t xml:space="preserve">Which research subjects each approach fits best (for your orientation)</w:t>
      </w:r>
    </w:p>
    <w:p>
      <w:pPr>
        <w:spacing w:line="360" w:after="210" w:lineRule="auto"/>
      </w:pPr>
      <w:r>
        <w:rPr>
          <w:rFonts w:eastAsia="inter" w:cs="inter" w:ascii="inter" w:hAnsi="inter"/>
          <w:color w:val="000000"/>
        </w:rPr>
        <w:t xml:space="preserve">Given your stated aims:</w:t>
      </w:r>
    </w:p>
    <w:p>
      <w:pPr>
        <w:numPr>
          <w:ilvl w:val="0"/>
          <w:numId w:val="14"/>
        </w:numPr>
        <w:spacing w:line="360" w:before="105" w:after="105" w:lineRule="auto"/>
      </w:pPr>
      <w:r>
        <w:rPr>
          <w:rFonts w:eastAsia="inter" w:cs="inter" w:ascii="inter" w:hAnsi="inter"/>
          <w:color w:val="000000"/>
          <w:sz w:val="21"/>
        </w:rPr>
        <w:t xml:space="preserve">Q1: Transform Indigenous research/ceremonial practice AND design media/AI/storytelling systems grounded in Indigenous paradigms.</w:t>
      </w:r>
    </w:p>
    <w:p>
      <w:pPr>
        <w:numPr>
          <w:ilvl w:val="0"/>
          <w:numId w:val="14"/>
        </w:numPr>
        <w:spacing w:line="360" w:before="105" w:after="105" w:lineRule="auto"/>
      </w:pPr>
      <w:r>
        <w:rPr>
          <w:rFonts w:eastAsia="inter" w:cs="inter" w:ascii="inter" w:hAnsi="inter"/>
          <w:color w:val="000000"/>
          <w:sz w:val="21"/>
        </w:rPr>
        <w:t xml:space="preserve">Q2: Non‑negotiable: Indigenous methodologies‑centred programme.</w:t>
      </w:r>
    </w:p>
    <w:p>
      <w:pPr>
        <w:numPr>
          <w:ilvl w:val="0"/>
          <w:numId w:val="14"/>
        </w:numPr>
        <w:spacing w:line="360" w:before="105" w:after="105" w:lineRule="auto"/>
      </w:pPr>
      <w:r>
        <w:rPr>
          <w:rFonts w:eastAsia="inter" w:cs="inter" w:ascii="inter" w:hAnsi="inter"/>
          <w:color w:val="000000"/>
          <w:sz w:val="21"/>
        </w:rPr>
        <w:t xml:space="preserve">Q3: Community‑based/ceremonial work AND industry/innovation (AI, media, creative technology).</w:t>
      </w:r>
    </w:p>
    <w:p>
      <w:pPr>
        <w:spacing w:line="360" w:after="210" w:lineRule="auto"/>
      </w:pPr>
      <w:r>
        <w:rPr>
          <w:rFonts w:eastAsia="inter" w:cs="inter" w:ascii="inter" w:hAnsi="inter"/>
          <w:color w:val="000000"/>
        </w:rPr>
        <w:t xml:space="preserve">A useful mapping:</w:t>
      </w:r>
    </w:p>
    <w:p>
      <w:pPr>
        <w:numPr>
          <w:ilvl w:val="0"/>
          <w:numId w:val="15"/>
        </w:numPr>
        <w:spacing w:line="360" w:after="210" w:lineRule="auto"/>
      </w:pPr>
      <w:r>
        <w:rPr>
          <w:rFonts w:eastAsia="inter" w:cs="inter" w:ascii="inter" w:hAnsi="inter"/>
          <w:color w:val="000000"/>
          <w:sz w:val="21"/>
        </w:rPr>
        <w:t xml:space="preserve">Kaupapa Māori primary frame for:</w:t>
      </w:r>
    </w:p>
    <w:p>
      <w:pPr>
        <w:numPr>
          <w:ilvl w:val="1"/>
          <w:numId w:val="15"/>
        </w:numPr>
        <w:spacing w:line="360" w:before="105" w:after="105" w:lineRule="auto"/>
      </w:pPr>
      <w:r>
        <w:rPr>
          <w:rFonts w:eastAsia="inter" w:cs="inter" w:ascii="inter" w:hAnsi="inter"/>
          <w:color w:val="000000"/>
          <w:sz w:val="21"/>
        </w:rPr>
        <w:t xml:space="preserve">Māori‑centred research on AI, media and storytelling that is accountable to iwi/hapū/whānau – e.g. Māori narrative AI agents, digital marae spaces, Kaupapa Māori evaluation of existing media/AI systems.</w:t>
      </w:r>
      <w:bookmarkStart w:id="66" w:name="fnref18_1"/>
      <w:bookmarkEnd w:id="66"/>
      <w:hyperlink w:anchor="fn18">
        <w:r>
          <w:rPr>
            <w:rFonts w:eastAsia="inter" w:cs="inter" w:ascii="inter" w:hAnsi="inter"/>
            <w:color w:val="#000"/>
            <w:sz w:val="21"/>
            <w:u w:val="single"/>
            <w:vertAlign w:val="superscript"/>
          </w:rPr>
          <w:t xml:space="preserve">[18]</w:t>
        </w:r>
      </w:hyperlink>
      <w:bookmarkStart w:id="67" w:name="fnref3_6"/>
      <w:bookmarkEnd w:id="67"/>
      <w:hyperlink w:anchor="fn3">
        <w:r>
          <w:rPr>
            <w:rFonts w:eastAsia="inter" w:cs="inter" w:ascii="inter" w:hAnsi="inter"/>
            <w:color w:val="#000"/>
            <w:sz w:val="21"/>
            <w:u w:val="single"/>
            <w:vertAlign w:val="superscript"/>
          </w:rPr>
          <w:t xml:space="preserve">[3]</w:t>
        </w:r>
      </w:hyperlink>
    </w:p>
    <w:p>
      <w:pPr>
        <w:numPr>
          <w:ilvl w:val="1"/>
          <w:numId w:val="15"/>
        </w:numPr>
        <w:spacing w:line="360" w:before="105" w:after="105" w:lineRule="auto"/>
      </w:pPr>
      <w:r>
        <w:rPr>
          <w:rFonts w:eastAsia="inter" w:cs="inter" w:ascii="inter" w:hAnsi="inter"/>
          <w:color w:val="000000"/>
          <w:sz w:val="21"/>
        </w:rPr>
        <w:t xml:space="preserve">Projects where institutional structures (universities, health boards, councils, media platforms) in Aotearoa must be critiqued and reshaped.</w:t>
      </w:r>
    </w:p>
    <w:p>
      <w:pPr>
        <w:numPr>
          <w:ilvl w:val="1"/>
          <w:numId w:val="15"/>
        </w:numPr>
        <w:spacing w:line="360" w:before="105" w:after="105" w:lineRule="auto"/>
      </w:pPr>
      <w:r>
        <w:rPr>
          <w:rFonts w:eastAsia="inter" w:cs="inter" w:ascii="inter" w:hAnsi="inter"/>
          <w:color w:val="000000"/>
          <w:sz w:val="21"/>
        </w:rPr>
        <w:t xml:space="preserve">Work explicitly under Waikato’s Te Pua Wānanga ki te Ao, Māori and Indigenous Studies, marae‑based research, and Māori Media &amp; Communication.</w:t>
      </w:r>
    </w:p>
    <w:p>
      <w:pPr>
        <w:numPr>
          <w:ilvl w:val="0"/>
          <w:numId w:val="15"/>
        </w:numPr>
        <w:spacing w:line="360" w:after="210" w:lineRule="auto"/>
      </w:pPr>
      <w:r>
        <w:rPr>
          <w:rFonts w:eastAsia="inter" w:cs="inter" w:ascii="inter" w:hAnsi="inter"/>
          <w:color w:val="000000"/>
          <w:sz w:val="21"/>
        </w:rPr>
        <w:t xml:space="preserve">Wilson’s </w:t>
      </w:r>
      <w:r>
        <w:rPr>
          <w:rFonts w:eastAsia="inter" w:cs="inter" w:ascii="inter" w:hAnsi="inter"/>
          <w:i/>
          <w:color w:val="000000"/>
          <w:sz w:val="21"/>
        </w:rPr>
        <w:t xml:space="preserve">Research Is Ceremony</w:t>
      </w:r>
      <w:r>
        <w:rPr>
          <w:rFonts w:eastAsia="inter" w:cs="inter" w:ascii="inter" w:hAnsi="inter"/>
          <w:color w:val="000000"/>
          <w:sz w:val="21"/>
        </w:rPr>
        <w:t xml:space="preserve"> as co‑frame for:</w:t>
      </w:r>
    </w:p>
    <w:p>
      <w:pPr>
        <w:numPr>
          <w:ilvl w:val="1"/>
          <w:numId w:val="15"/>
        </w:numPr>
        <w:spacing w:line="360" w:before="105" w:after="105" w:lineRule="auto"/>
      </w:pPr>
      <w:r>
        <w:rPr>
          <w:rFonts w:eastAsia="inter" w:cs="inter" w:ascii="inter" w:hAnsi="inter"/>
          <w:color w:val="000000"/>
          <w:sz w:val="21"/>
        </w:rPr>
        <w:t xml:space="preserve">Conceptualising your whole research system as ceremony: supervisory relationships, AI toolchains, data pipelines, evaluation processes as parts of one ceremony of relational accountability.</w:t>
      </w:r>
    </w:p>
    <w:p>
      <w:pPr>
        <w:numPr>
          <w:ilvl w:val="1"/>
          <w:numId w:val="15"/>
        </w:numPr>
        <w:spacing w:line="360" w:before="105" w:after="105" w:lineRule="auto"/>
      </w:pPr>
      <w:r>
        <w:rPr>
          <w:rFonts w:eastAsia="inter" w:cs="inter" w:ascii="inter" w:hAnsi="inter"/>
          <w:color w:val="000000"/>
          <w:sz w:val="21"/>
        </w:rPr>
        <w:t xml:space="preserve">Multi‑community or trans‑Indigenous AI/storytelling projects (e.g. systems that must hold Cree, Māori, and Pacific relations together without flattening them).</w:t>
      </w:r>
    </w:p>
    <w:p>
      <w:pPr>
        <w:numPr>
          <w:ilvl w:val="1"/>
          <w:numId w:val="15"/>
        </w:numPr>
        <w:spacing w:line="360" w:before="105" w:after="105" w:lineRule="auto"/>
      </w:pPr>
      <w:r>
        <w:rPr>
          <w:rFonts w:eastAsia="inter" w:cs="inter" w:ascii="inter" w:hAnsi="inter"/>
          <w:color w:val="000000"/>
          <w:sz w:val="21"/>
        </w:rPr>
        <w:t xml:space="preserve">Writing and designing the interaction with AI as letters, stories, protocols of ceremony rather than only “methods sections”.</w:t>
      </w:r>
    </w:p>
    <w:p>
      <w:pPr>
        <w:spacing w:line="360" w:after="210" w:lineRule="auto"/>
      </w:pPr>
      <w:r>
        <w:rPr>
          <w:rFonts w:eastAsia="inter" w:cs="inter" w:ascii="inter" w:hAnsi="inter"/>
          <w:color w:val="000000"/>
        </w:rPr>
        <w:t xml:space="preserve">In practice, for your thesis/theses:</w:t>
      </w:r>
    </w:p>
    <w:p>
      <w:pPr>
        <w:numPr>
          <w:ilvl w:val="0"/>
          <w:numId w:val="16"/>
        </w:numPr>
        <w:spacing w:line="360" w:before="105" w:after="105" w:lineRule="auto"/>
      </w:pPr>
      <w:r>
        <w:rPr>
          <w:rFonts w:eastAsia="inter" w:cs="inter" w:ascii="inter" w:hAnsi="inter"/>
          <w:color w:val="000000"/>
          <w:sz w:val="21"/>
        </w:rPr>
        <w:t xml:space="preserve">Use Kaupapa Māori to anchor commitments, ethics, governance, and specific Māori methodological choices at Waikato.</w:t>
      </w:r>
    </w:p>
    <w:p>
      <w:pPr>
        <w:numPr>
          <w:ilvl w:val="0"/>
          <w:numId w:val="16"/>
        </w:numPr>
        <w:spacing w:line="360" w:before="105" w:after="105" w:lineRule="auto"/>
      </w:pPr>
      <w:r>
        <w:rPr>
          <w:rFonts w:eastAsia="inter" w:cs="inter" w:ascii="inter" w:hAnsi="inter"/>
          <w:color w:val="000000"/>
          <w:sz w:val="21"/>
        </w:rPr>
        <w:t xml:space="preserve">Use Wilson’s paradigm to articulate your meta‑architecture: research as ceremony; AI/media systems as participants in, and facilitators of, that ceremony.</w:t>
      </w:r>
    </w:p>
    <w:p>
      <w:pPr>
        <w:spacing w:line="360" w:after="210" w:lineRule="auto"/>
      </w:pPr>
      <w:r>
        <w:rPr>
          <w:rFonts w:eastAsia="inter" w:cs="inter" w:ascii="inter" w:hAnsi="inter"/>
          <w:color w:val="000000"/>
        </w:rPr>
        <w:t xml:space="preserve">Mapping to Waikato master’s pathways</w:t>
      </w:r>
    </w:p>
    <w:p>
      <w:pPr>
        <w:spacing w:line="360" w:after="210" w:lineRule="auto"/>
      </w:pPr>
      <w:r>
        <w:rPr>
          <w:rFonts w:eastAsia="inter" w:cs="inter" w:ascii="inter" w:hAnsi="inter"/>
          <w:color w:val="000000"/>
        </w:rPr>
        <w:t xml:space="preserve">From your list, the relevant high‑level families at Waikato are:</w:t>
      </w:r>
    </w:p>
    <w:p>
      <w:pPr>
        <w:numPr>
          <w:ilvl w:val="0"/>
          <w:numId w:val="17"/>
        </w:numPr>
        <w:spacing w:line="360" w:before="105" w:after="105" w:lineRule="auto"/>
      </w:pPr>
      <w:r>
        <w:rPr>
          <w:rFonts w:eastAsia="inter" w:cs="inter" w:ascii="inter" w:hAnsi="inter"/>
          <w:color w:val="000000"/>
          <w:sz w:val="21"/>
        </w:rPr>
        <w:t xml:space="preserve">Arts Masters (e.g. MA in Māori and Indigenous Studies, Theatre Studies, Music, etc.).</w:t>
      </w:r>
      <w:bookmarkStart w:id="68" w:name="fnref19"/>
      <w:bookmarkEnd w:id="68"/>
      <w:hyperlink w:anchor="fn19">
        <w:r>
          <w:rPr>
            <w:rFonts w:eastAsia="inter" w:cs="inter" w:ascii="inter" w:hAnsi="inter"/>
            <w:color w:val="#000"/>
            <w:sz w:val="21"/>
            <w:u w:val="single"/>
            <w:vertAlign w:val="superscript"/>
          </w:rPr>
          <w:t xml:space="preserve">[19]</w:t>
        </w:r>
      </w:hyperlink>
      <w:bookmarkStart w:id="69" w:name="fnref20"/>
      <w:bookmarkEnd w:id="69"/>
      <w:hyperlink w:anchor="fn20">
        <w:r>
          <w:rPr>
            <w:rFonts w:eastAsia="inter" w:cs="inter" w:ascii="inter" w:hAnsi="inter"/>
            <w:color w:val="#000"/>
            <w:sz w:val="21"/>
            <w:u w:val="single"/>
            <w:vertAlign w:val="superscript"/>
          </w:rPr>
          <w:t xml:space="preserve">[20]</w:t>
        </w:r>
      </w:hyperlink>
      <w:bookmarkStart w:id="70" w:name="fnref21"/>
      <w:bookmarkEnd w:id="70"/>
      <w:hyperlink w:anchor="fn21">
        <w:r>
          <w:rPr>
            <w:rFonts w:eastAsia="inter" w:cs="inter" w:ascii="inter" w:hAnsi="inter"/>
            <w:color w:val="#000"/>
            <w:sz w:val="21"/>
            <w:u w:val="single"/>
            <w:vertAlign w:val="superscript"/>
          </w:rPr>
          <w:t xml:space="preserve">[21]</w:t>
        </w:r>
      </w:hyperlink>
    </w:p>
    <w:p>
      <w:pPr>
        <w:numPr>
          <w:ilvl w:val="0"/>
          <w:numId w:val="17"/>
        </w:numPr>
        <w:spacing w:line="360" w:before="105" w:after="105" w:lineRule="auto"/>
      </w:pPr>
      <w:r>
        <w:rPr>
          <w:rFonts w:eastAsia="inter" w:cs="inter" w:ascii="inter" w:hAnsi="inter"/>
          <w:color w:val="000000"/>
          <w:sz w:val="21"/>
        </w:rPr>
        <w:t xml:space="preserve">Media and Creative Technologies Masters (MMCT).</w:t>
      </w:r>
      <w:bookmarkStart w:id="71" w:name="fnref22"/>
      <w:bookmarkEnd w:id="71"/>
      <w:hyperlink w:anchor="fn22">
        <w:r>
          <w:rPr>
            <w:rFonts w:eastAsia="inter" w:cs="inter" w:ascii="inter" w:hAnsi="inter"/>
            <w:color w:val="#000"/>
            <w:sz w:val="21"/>
            <w:u w:val="single"/>
            <w:vertAlign w:val="superscript"/>
          </w:rPr>
          <w:t xml:space="preserve">[22]</w:t>
        </w:r>
      </w:hyperlink>
      <w:bookmarkStart w:id="72" w:name="fnref23"/>
      <w:bookmarkEnd w:id="72"/>
      <w:hyperlink w:anchor="fn23">
        <w:r>
          <w:rPr>
            <w:rFonts w:eastAsia="inter" w:cs="inter" w:ascii="inter" w:hAnsi="inter"/>
            <w:color w:val="#000"/>
            <w:sz w:val="21"/>
            <w:u w:val="single"/>
            <w:vertAlign w:val="superscript"/>
          </w:rPr>
          <w:t xml:space="preserve">[23]</w:t>
        </w:r>
      </w:hyperlink>
      <w:bookmarkStart w:id="73" w:name="fnref24"/>
      <w:bookmarkEnd w:id="73"/>
      <w:hyperlink w:anchor="fn24">
        <w:r>
          <w:rPr>
            <w:rFonts w:eastAsia="inter" w:cs="inter" w:ascii="inter" w:hAnsi="inter"/>
            <w:color w:val="#000"/>
            <w:sz w:val="21"/>
            <w:u w:val="single"/>
            <w:vertAlign w:val="superscript"/>
          </w:rPr>
          <w:t xml:space="preserve">[24]</w:t>
        </w:r>
      </w:hyperlink>
      <w:bookmarkStart w:id="74" w:name="fnref25"/>
      <w:bookmarkEnd w:id="74"/>
      <w:hyperlink w:anchor="fn25">
        <w:r>
          <w:rPr>
            <w:rFonts w:eastAsia="inter" w:cs="inter" w:ascii="inter" w:hAnsi="inter"/>
            <w:color w:val="#000"/>
            <w:sz w:val="21"/>
            <w:u w:val="single"/>
            <w:vertAlign w:val="superscript"/>
          </w:rPr>
          <w:t xml:space="preserve">[25]</w:t>
        </w:r>
      </w:hyperlink>
    </w:p>
    <w:p>
      <w:pPr>
        <w:numPr>
          <w:ilvl w:val="0"/>
          <w:numId w:val="17"/>
        </w:numPr>
        <w:spacing w:line="360" w:before="105" w:after="105" w:lineRule="auto"/>
      </w:pPr>
      <w:r>
        <w:rPr>
          <w:rFonts w:eastAsia="inter" w:cs="inter" w:ascii="inter" w:hAnsi="inter"/>
          <w:color w:val="000000"/>
          <w:sz w:val="21"/>
        </w:rPr>
        <w:t xml:space="preserve">Design Masters (MDes).</w:t>
      </w:r>
      <w:bookmarkStart w:id="75" w:name="fnref26"/>
      <w:bookmarkEnd w:id="75"/>
      <w:hyperlink w:anchor="fn26">
        <w:r>
          <w:rPr>
            <w:rFonts w:eastAsia="inter" w:cs="inter" w:ascii="inter" w:hAnsi="inter"/>
            <w:color w:val="#000"/>
            <w:sz w:val="21"/>
            <w:u w:val="single"/>
            <w:vertAlign w:val="superscript"/>
          </w:rPr>
          <w:t xml:space="preserve">[26]</w:t>
        </w:r>
      </w:hyperlink>
      <w:bookmarkStart w:id="76" w:name="fnref27"/>
      <w:bookmarkEnd w:id="76"/>
      <w:hyperlink w:anchor="fn27">
        <w:r>
          <w:rPr>
            <w:rFonts w:eastAsia="inter" w:cs="inter" w:ascii="inter" w:hAnsi="inter"/>
            <w:color w:val="#000"/>
            <w:sz w:val="21"/>
            <w:u w:val="single"/>
            <w:vertAlign w:val="superscript"/>
          </w:rPr>
          <w:t xml:space="preserve">[27]</w:t>
        </w:r>
      </w:hyperlink>
      <w:bookmarkStart w:id="77" w:name="fnref28"/>
      <w:bookmarkEnd w:id="77"/>
      <w:hyperlink w:anchor="fn28">
        <w:r>
          <w:rPr>
            <w:rFonts w:eastAsia="inter" w:cs="inter" w:ascii="inter" w:hAnsi="inter"/>
            <w:color w:val="#000"/>
            <w:sz w:val="21"/>
            <w:u w:val="single"/>
            <w:vertAlign w:val="superscript"/>
          </w:rPr>
          <w:t xml:space="preserve">[28]</w:t>
        </w:r>
      </w:hyperlink>
    </w:p>
    <w:p>
      <w:pPr>
        <w:numPr>
          <w:ilvl w:val="0"/>
          <w:numId w:val="17"/>
        </w:numPr>
        <w:spacing w:line="360" w:before="105" w:after="105" w:lineRule="auto"/>
      </w:pPr>
      <w:r>
        <w:rPr>
          <w:rFonts w:eastAsia="inter" w:cs="inter" w:ascii="inter" w:hAnsi="inter"/>
          <w:color w:val="000000"/>
          <w:sz w:val="21"/>
        </w:rPr>
        <w:t xml:space="preserve">Engineering Masters (ME).</w:t>
      </w:r>
      <w:bookmarkStart w:id="78" w:name="fnref29"/>
      <w:bookmarkEnd w:id="78"/>
      <w:hyperlink w:anchor="fn29">
        <w:r>
          <w:rPr>
            <w:rFonts w:eastAsia="inter" w:cs="inter" w:ascii="inter" w:hAnsi="inter"/>
            <w:color w:val="#000"/>
            <w:sz w:val="21"/>
            <w:u w:val="single"/>
            <w:vertAlign w:val="superscript"/>
          </w:rPr>
          <w:t xml:space="preserve">[29]</w:t>
        </w:r>
      </w:hyperlink>
      <w:bookmarkStart w:id="79" w:name="fnref30"/>
      <w:bookmarkEnd w:id="79"/>
      <w:hyperlink w:anchor="fn30">
        <w:r>
          <w:rPr>
            <w:rFonts w:eastAsia="inter" w:cs="inter" w:ascii="inter" w:hAnsi="inter"/>
            <w:color w:val="#000"/>
            <w:sz w:val="21"/>
            <w:u w:val="single"/>
            <w:vertAlign w:val="superscript"/>
          </w:rPr>
          <w:t xml:space="preserve">[30]</w:t>
        </w:r>
      </w:hyperlink>
      <w:bookmarkStart w:id="80" w:name="fnref31"/>
      <w:bookmarkEnd w:id="80"/>
      <w:hyperlink w:anchor="fn31">
        <w:r>
          <w:rPr>
            <w:rFonts w:eastAsia="inter" w:cs="inter" w:ascii="inter" w:hAnsi="inter"/>
            <w:color w:val="#000"/>
            <w:sz w:val="21"/>
            <w:u w:val="single"/>
            <w:vertAlign w:val="superscript"/>
          </w:rPr>
          <w:t xml:space="preserve">[31]</w:t>
        </w:r>
      </w:hyperlink>
    </w:p>
    <w:p>
      <w:pPr>
        <w:numPr>
          <w:ilvl w:val="0"/>
          <w:numId w:val="17"/>
        </w:numPr>
        <w:spacing w:line="360" w:before="105" w:after="105" w:lineRule="auto"/>
      </w:pPr>
      <w:r>
        <w:rPr>
          <w:rFonts w:eastAsia="inter" w:cs="inter" w:ascii="inter" w:hAnsi="inter"/>
          <w:color w:val="000000"/>
          <w:sz w:val="21"/>
        </w:rPr>
        <w:t xml:space="preserve">Science and Technologies Masters (MSc and related).</w:t>
      </w:r>
      <w:bookmarkStart w:id="81" w:name="fnref32"/>
      <w:bookmarkEnd w:id="81"/>
      <w:hyperlink w:anchor="fn32">
        <w:r>
          <w:rPr>
            <w:rFonts w:eastAsia="inter" w:cs="inter" w:ascii="inter" w:hAnsi="inter"/>
            <w:color w:val="#000"/>
            <w:sz w:val="21"/>
            <w:u w:val="single"/>
            <w:vertAlign w:val="superscript"/>
          </w:rPr>
          <w:t xml:space="preserve">[32]</w:t>
        </w:r>
      </w:hyperlink>
      <w:bookmarkStart w:id="82" w:name="fnref33"/>
      <w:bookmarkEnd w:id="82"/>
      <w:hyperlink w:anchor="fn33">
        <w:r>
          <w:rPr>
            <w:rFonts w:eastAsia="inter" w:cs="inter" w:ascii="inter" w:hAnsi="inter"/>
            <w:color w:val="#000"/>
            <w:sz w:val="21"/>
            <w:u w:val="single"/>
            <w:vertAlign w:val="superscript"/>
          </w:rPr>
          <w:t xml:space="preserve">[33]</w:t>
        </w:r>
      </w:hyperlink>
      <w:bookmarkStart w:id="83" w:name="fnref34"/>
      <w:bookmarkEnd w:id="83"/>
      <w:hyperlink w:anchor="fn34">
        <w:r>
          <w:rPr>
            <w:rFonts w:eastAsia="inter" w:cs="inter" w:ascii="inter" w:hAnsi="inter"/>
            <w:color w:val="#000"/>
            <w:sz w:val="21"/>
            <w:u w:val="single"/>
            <w:vertAlign w:val="superscript"/>
          </w:rPr>
          <w:t xml:space="preserve">[34]</w:t>
        </w:r>
      </w:hyperlink>
    </w:p>
    <w:p>
      <w:pPr>
        <w:spacing w:line="360" w:after="210" w:lineRule="auto"/>
      </w:pPr>
      <w:r>
        <w:rPr>
          <w:rFonts w:eastAsia="inter" w:cs="inter" w:ascii="inter" w:hAnsi="inter"/>
          <w:color w:val="000000"/>
        </w:rPr>
        <w:t xml:space="preserve">Given Q2 (non‑negotiable Indigenous methodologies‑centred), the two strongest anchors are:</w:t>
      </w:r>
    </w:p>
    <w:p>
      <w:pPr>
        <w:numPr>
          <w:ilvl w:val="0"/>
          <w:numId w:val="18"/>
        </w:numPr>
        <w:spacing w:line="360" w:before="105" w:after="105" w:lineRule="auto"/>
      </w:pPr>
      <w:r>
        <w:rPr>
          <w:rFonts w:eastAsia="inter" w:cs="inter" w:ascii="inter" w:hAnsi="inter"/>
          <w:color w:val="000000"/>
          <w:sz w:val="21"/>
        </w:rPr>
        <w:t xml:space="preserve">Master of Arts (Māori and Indigenous Studies) – Arts Masters</w:t>
      </w:r>
    </w:p>
    <w:p>
      <w:pPr>
        <w:numPr>
          <w:ilvl w:val="0"/>
          <w:numId w:val="19"/>
        </w:numPr>
        <w:spacing w:line="360" w:before="105" w:after="105" w:lineRule="auto"/>
      </w:pPr>
      <w:r>
        <w:rPr>
          <w:rFonts w:eastAsia="inter" w:cs="inter" w:ascii="inter" w:hAnsi="inter"/>
          <w:color w:val="000000"/>
          <w:sz w:val="21"/>
        </w:rPr>
        <w:t xml:space="preserve">Housed in Te Pua Wānanga ki te Ao – Faculty of Māori &amp; Indigenous Studies; explicitly about Māori culture, language, knowledge and their role in Aotearoa’s social, economic, political life.</w:t>
      </w:r>
      <w:bookmarkStart w:id="84" w:name="fnref20_1"/>
      <w:bookmarkEnd w:id="84"/>
      <w:hyperlink w:anchor="fn20">
        <w:r>
          <w:rPr>
            <w:rFonts w:eastAsia="inter" w:cs="inter" w:ascii="inter" w:hAnsi="inter"/>
            <w:color w:val="#000"/>
            <w:sz w:val="21"/>
            <w:u w:val="single"/>
            <w:vertAlign w:val="superscript"/>
          </w:rPr>
          <w:t xml:space="preserve">[20]</w:t>
        </w:r>
      </w:hyperlink>
      <w:bookmarkStart w:id="85" w:name="fnref35"/>
      <w:bookmarkEnd w:id="85"/>
      <w:hyperlink w:anchor="fn35">
        <w:r>
          <w:rPr>
            <w:rFonts w:eastAsia="inter" w:cs="inter" w:ascii="inter" w:hAnsi="inter"/>
            <w:color w:val="#000"/>
            <w:sz w:val="21"/>
            <w:u w:val="single"/>
            <w:vertAlign w:val="superscript"/>
          </w:rPr>
          <w:t xml:space="preserve">[35]</w:t>
        </w:r>
      </w:hyperlink>
      <w:bookmarkStart w:id="86" w:name="fnref19_1"/>
      <w:bookmarkEnd w:id="86"/>
      <w:hyperlink w:anchor="fn19">
        <w:r>
          <w:rPr>
            <w:rFonts w:eastAsia="inter" w:cs="inter" w:ascii="inter" w:hAnsi="inter"/>
            <w:color w:val="#000"/>
            <w:sz w:val="21"/>
            <w:u w:val="single"/>
            <w:vertAlign w:val="superscript"/>
          </w:rPr>
          <w:t xml:space="preserve">[19]</w:t>
        </w:r>
      </w:hyperlink>
    </w:p>
    <w:p>
      <w:pPr>
        <w:numPr>
          <w:ilvl w:val="0"/>
          <w:numId w:val="19"/>
        </w:numPr>
        <w:spacing w:line="360" w:before="105" w:after="105" w:lineRule="auto"/>
      </w:pPr>
      <w:r>
        <w:rPr>
          <w:rFonts w:eastAsia="inter" w:cs="inter" w:ascii="inter" w:hAnsi="inter"/>
          <w:color w:val="000000"/>
          <w:sz w:val="21"/>
        </w:rPr>
        <w:t xml:space="preserve">Explicitly connects Māori Studies to global Indigenous Studies, including struggles like Standing Rock, Indigenous environmental justice, and decolonising movements.</w:t>
      </w:r>
      <w:bookmarkStart w:id="87" w:name="fnref35_1"/>
      <w:bookmarkEnd w:id="87"/>
      <w:hyperlink w:anchor="fn35">
        <w:r>
          <w:rPr>
            <w:rFonts w:eastAsia="inter" w:cs="inter" w:ascii="inter" w:hAnsi="inter"/>
            <w:color w:val="#000"/>
            <w:sz w:val="21"/>
            <w:u w:val="single"/>
            <w:vertAlign w:val="superscript"/>
          </w:rPr>
          <w:t xml:space="preserve">[35]</w:t>
        </w:r>
      </w:hyperlink>
      <w:bookmarkStart w:id="88" w:name="fnref19_2"/>
      <w:bookmarkEnd w:id="88"/>
      <w:hyperlink w:anchor="fn19">
        <w:r>
          <w:rPr>
            <w:rFonts w:eastAsia="inter" w:cs="inter" w:ascii="inter" w:hAnsi="inter"/>
            <w:color w:val="#000"/>
            <w:sz w:val="21"/>
            <w:u w:val="single"/>
            <w:vertAlign w:val="superscript"/>
          </w:rPr>
          <w:t xml:space="preserve">[19]</w:t>
        </w:r>
      </w:hyperlink>
    </w:p>
    <w:p>
      <w:pPr>
        <w:numPr>
          <w:ilvl w:val="0"/>
          <w:numId w:val="19"/>
        </w:numPr>
        <w:spacing w:line="360" w:before="105" w:after="105" w:lineRule="auto"/>
      </w:pPr>
      <w:r>
        <w:rPr>
          <w:rFonts w:eastAsia="inter" w:cs="inter" w:ascii="inter" w:hAnsi="inter"/>
          <w:color w:val="000000"/>
          <w:sz w:val="21"/>
        </w:rPr>
        <w:t xml:space="preserve">Offers a MA‑level thesis path where Kaupapa Māori, whakapapa methodology, pūrākau, wānanga‑based and other Indigenous approaches are normative, not “special topics”.</w:t>
      </w:r>
      <w:bookmarkStart w:id="89" w:name="fnref17_1"/>
      <w:bookmarkEnd w:id="89"/>
      <w:hyperlink w:anchor="fn17">
        <w:r>
          <w:rPr>
            <w:rFonts w:eastAsia="inter" w:cs="inter" w:ascii="inter" w:hAnsi="inter"/>
            <w:color w:val="#000"/>
            <w:sz w:val="21"/>
            <w:u w:val="single"/>
            <w:vertAlign w:val="superscript"/>
          </w:rPr>
          <w:t xml:space="preserve">[17]</w:t>
        </w:r>
      </w:hyperlink>
      <w:bookmarkStart w:id="90" w:name="fnref10_3"/>
      <w:bookmarkEnd w:id="90"/>
      <w:hyperlink w:anchor="fn10">
        <w:r>
          <w:rPr>
            <w:rFonts w:eastAsia="inter" w:cs="inter" w:ascii="inter" w:hAnsi="inter"/>
            <w:color w:val="#000"/>
            <w:sz w:val="21"/>
            <w:u w:val="single"/>
            <w:vertAlign w:val="superscript"/>
          </w:rPr>
          <w:t xml:space="preserve">[10]</w:t>
        </w:r>
      </w:hyperlink>
    </w:p>
    <w:p>
      <w:pPr>
        <w:numPr>
          <w:ilvl w:val="0"/>
          <w:numId w:val="19"/>
        </w:numPr>
        <w:spacing w:line="360" w:before="105" w:after="105" w:lineRule="auto"/>
      </w:pPr>
      <w:r>
        <w:rPr>
          <w:rFonts w:eastAsia="inter" w:cs="inter" w:ascii="inter" w:hAnsi="inter"/>
          <w:color w:val="000000"/>
          <w:sz w:val="21"/>
        </w:rPr>
        <w:t xml:space="preserve">Career trajectories: research consultant, Māori creative and performing arts, iwi development, broadcasting/journalism, policy analysis, international development – all framed through Indigenous leadership.</w:t>
      </w:r>
      <w:bookmarkStart w:id="91" w:name="fnref36"/>
      <w:bookmarkEnd w:id="91"/>
      <w:hyperlink w:anchor="fn36">
        <w:r>
          <w:rPr>
            <w:rFonts w:eastAsia="inter" w:cs="inter" w:ascii="inter" w:hAnsi="inter"/>
            <w:color w:val="#000"/>
            <w:sz w:val="21"/>
            <w:u w:val="single"/>
            <w:vertAlign w:val="superscript"/>
          </w:rPr>
          <w:t xml:space="preserve">[36]</w:t>
        </w:r>
      </w:hyperlink>
      <w:bookmarkStart w:id="92" w:name="fnref35_2"/>
      <w:bookmarkEnd w:id="92"/>
      <w:hyperlink w:anchor="fn35">
        <w:r>
          <w:rPr>
            <w:rFonts w:eastAsia="inter" w:cs="inter" w:ascii="inter" w:hAnsi="inter"/>
            <w:color w:val="#000"/>
            <w:sz w:val="21"/>
            <w:u w:val="single"/>
            <w:vertAlign w:val="superscript"/>
          </w:rPr>
          <w:t xml:space="preserve">[35]</w:t>
        </w:r>
      </w:hyperlink>
    </w:p>
    <w:p>
      <w:pPr>
        <w:spacing w:line="360" w:after="210" w:lineRule="auto"/>
      </w:pPr>
      <w:r>
        <w:rPr>
          <w:rFonts w:eastAsia="inter" w:cs="inter" w:ascii="inter" w:hAnsi="inter"/>
          <w:color w:val="000000"/>
        </w:rPr>
        <w:t xml:space="preserve">For you, this is the natural place to:</w:t>
      </w:r>
    </w:p>
    <w:p>
      <w:pPr>
        <w:numPr>
          <w:ilvl w:val="0"/>
          <w:numId w:val="20"/>
        </w:numPr>
        <w:spacing w:line="360" w:before="105" w:after="105" w:lineRule="auto"/>
      </w:pPr>
      <w:r>
        <w:rPr>
          <w:rFonts w:eastAsia="inter" w:cs="inter" w:ascii="inter" w:hAnsi="inter"/>
          <w:color w:val="000000"/>
          <w:sz w:val="21"/>
        </w:rPr>
        <w:t xml:space="preserve">Do a deep thesis on Indigenous research paradigms: Kaupapa Māori, Wilson, Kovach, Chilisa, Two‑Eyed Seeing, etc., and articulate your own ceremony‑aware methodology for AI and narrative systems.</w:t>
      </w:r>
    </w:p>
    <w:p>
      <w:pPr>
        <w:numPr>
          <w:ilvl w:val="0"/>
          <w:numId w:val="20"/>
        </w:numPr>
        <w:spacing w:line="360" w:before="105" w:after="105" w:lineRule="auto"/>
      </w:pPr>
      <w:r>
        <w:rPr>
          <w:rFonts w:eastAsia="inter" w:cs="inter" w:ascii="inter" w:hAnsi="inter"/>
          <w:color w:val="000000"/>
          <w:sz w:val="21"/>
        </w:rPr>
        <w:t xml:space="preserve">Anchor your ceremonial and methodological work in Waikato’s Māori and Indigenous Studies community, with supervisors whose default paradigm is Kaupapa Māori.</w:t>
      </w:r>
      <w:bookmarkStart w:id="93" w:name="fnref37"/>
      <w:bookmarkEnd w:id="93"/>
      <w:hyperlink w:anchor="fn37">
        <w:r>
          <w:rPr>
            <w:rFonts w:eastAsia="inter" w:cs="inter" w:ascii="inter" w:hAnsi="inter"/>
            <w:color w:val="#000"/>
            <w:sz w:val="21"/>
            <w:u w:val="single"/>
            <w:vertAlign w:val="superscript"/>
          </w:rPr>
          <w:t xml:space="preserve">[37]</w:t>
        </w:r>
      </w:hyperlink>
      <w:bookmarkStart w:id="94" w:name="fnref20_2"/>
      <w:bookmarkEnd w:id="94"/>
      <w:hyperlink w:anchor="fn20">
        <w:r>
          <w:rPr>
            <w:rFonts w:eastAsia="inter" w:cs="inter" w:ascii="inter" w:hAnsi="inter"/>
            <w:color w:val="#000"/>
            <w:sz w:val="21"/>
            <w:u w:val="single"/>
            <w:vertAlign w:val="superscript"/>
          </w:rPr>
          <w:t xml:space="preserve">[20]</w:t>
        </w:r>
      </w:hyperlink>
    </w:p>
    <w:p>
      <w:pPr>
        <w:numPr>
          <w:ilvl w:val="0"/>
          <w:numId w:val="21"/>
        </w:numPr>
        <w:spacing w:line="360" w:before="105" w:after="105" w:lineRule="auto"/>
      </w:pPr>
      <w:r>
        <w:rPr>
          <w:rFonts w:eastAsia="inter" w:cs="inter" w:ascii="inter" w:hAnsi="inter"/>
          <w:color w:val="000000"/>
          <w:sz w:val="21"/>
        </w:rPr>
        <w:t xml:space="preserve">Master of Media and Creative Technologies (MMCT) – Media and Creative Technologies Masters</w:t>
      </w:r>
    </w:p>
    <w:p>
      <w:pPr>
        <w:numPr>
          <w:ilvl w:val="0"/>
          <w:numId w:val="22"/>
        </w:numPr>
        <w:spacing w:line="360" w:before="105" w:after="105" w:lineRule="auto"/>
      </w:pPr>
      <w:r>
        <w:rPr>
          <w:rFonts w:eastAsia="inter" w:cs="inter" w:ascii="inter" w:hAnsi="inter"/>
          <w:color w:val="000000"/>
          <w:sz w:val="21"/>
        </w:rPr>
        <w:t xml:space="preserve">1‑year degree focusing on Screen and Media Studies, with subjects including Creative Practices, Creative Technologies, Screen and Media Studies, and Māori Media and Communication.</w:t>
      </w:r>
      <w:bookmarkStart w:id="95" w:name="fnref23_1"/>
      <w:bookmarkEnd w:id="95"/>
      <w:hyperlink w:anchor="fn23">
        <w:r>
          <w:rPr>
            <w:rFonts w:eastAsia="inter" w:cs="inter" w:ascii="inter" w:hAnsi="inter"/>
            <w:color w:val="#000"/>
            <w:sz w:val="21"/>
            <w:u w:val="single"/>
            <w:vertAlign w:val="superscript"/>
          </w:rPr>
          <w:t xml:space="preserve">[23]</w:t>
        </w:r>
      </w:hyperlink>
      <w:bookmarkStart w:id="96" w:name="fnref25_1"/>
      <w:bookmarkEnd w:id="96"/>
      <w:hyperlink w:anchor="fn25">
        <w:r>
          <w:rPr>
            <w:rFonts w:eastAsia="inter" w:cs="inter" w:ascii="inter" w:hAnsi="inter"/>
            <w:color w:val="#000"/>
            <w:sz w:val="21"/>
            <w:u w:val="single"/>
            <w:vertAlign w:val="superscript"/>
          </w:rPr>
          <w:t xml:space="preserve">[25]</w:t>
        </w:r>
      </w:hyperlink>
      <w:bookmarkStart w:id="97" w:name="fnref22_1"/>
      <w:bookmarkEnd w:id="97"/>
      <w:hyperlink w:anchor="fn22">
        <w:r>
          <w:rPr>
            <w:rFonts w:eastAsia="inter" w:cs="inter" w:ascii="inter" w:hAnsi="inter"/>
            <w:color w:val="#000"/>
            <w:sz w:val="21"/>
            <w:u w:val="single"/>
            <w:vertAlign w:val="superscript"/>
          </w:rPr>
          <w:t xml:space="preserve">[22]</w:t>
        </w:r>
      </w:hyperlink>
    </w:p>
    <w:p>
      <w:pPr>
        <w:numPr>
          <w:ilvl w:val="0"/>
          <w:numId w:val="22"/>
        </w:numPr>
        <w:spacing w:line="360" w:before="105" w:after="105" w:lineRule="auto"/>
      </w:pPr>
      <w:r>
        <w:rPr>
          <w:rFonts w:eastAsia="inter" w:cs="inter" w:ascii="inter" w:hAnsi="inter"/>
          <w:color w:val="000000"/>
          <w:sz w:val="21"/>
        </w:rPr>
        <w:t xml:space="preserve">Explicitly invites AI, VR, online content, podcasts, multimedia installations as core creative research media; you work under supervision to produce a portfolio of audio‑visual projects plus methodological/theoretical framing.</w:t>
      </w:r>
      <w:bookmarkStart w:id="98" w:name="fnref22_2"/>
      <w:bookmarkEnd w:id="98"/>
      <w:hyperlink w:anchor="fn22">
        <w:r>
          <w:rPr>
            <w:rFonts w:eastAsia="inter" w:cs="inter" w:ascii="inter" w:hAnsi="inter"/>
            <w:color w:val="#000"/>
            <w:sz w:val="21"/>
            <w:u w:val="single"/>
            <w:vertAlign w:val="superscript"/>
          </w:rPr>
          <w:t xml:space="preserve">[22]</w:t>
        </w:r>
      </w:hyperlink>
      <w:bookmarkStart w:id="99" w:name="fnref23_2"/>
      <w:bookmarkEnd w:id="99"/>
      <w:hyperlink w:anchor="fn23">
        <w:r>
          <w:rPr>
            <w:rFonts w:eastAsia="inter" w:cs="inter" w:ascii="inter" w:hAnsi="inter"/>
            <w:color w:val="#000"/>
            <w:sz w:val="21"/>
            <w:u w:val="single"/>
            <w:vertAlign w:val="superscript"/>
          </w:rPr>
          <w:t xml:space="preserve">[23]</w:t>
        </w:r>
      </w:hyperlink>
    </w:p>
    <w:p>
      <w:pPr>
        <w:numPr>
          <w:ilvl w:val="0"/>
          <w:numId w:val="22"/>
        </w:numPr>
        <w:spacing w:line="360" w:before="105" w:after="105" w:lineRule="auto"/>
      </w:pPr>
      <w:r>
        <w:rPr>
          <w:rFonts w:eastAsia="inter" w:cs="inter" w:ascii="inter" w:hAnsi="inter"/>
          <w:color w:val="000000"/>
          <w:sz w:val="21"/>
        </w:rPr>
        <w:t xml:space="preserve">Has a Māori Media and Communication track offered under the Faculty of Māori and Indigenous Studies, which is a key hinge between Kaupapa Māori and media/tech practice.</w:t>
      </w:r>
      <w:bookmarkStart w:id="100" w:name="fnref20_3"/>
      <w:bookmarkEnd w:id="100"/>
      <w:hyperlink w:anchor="fn20">
        <w:r>
          <w:rPr>
            <w:rFonts w:eastAsia="inter" w:cs="inter" w:ascii="inter" w:hAnsi="inter"/>
            <w:color w:val="#000"/>
            <w:sz w:val="21"/>
            <w:u w:val="single"/>
            <w:vertAlign w:val="superscript"/>
          </w:rPr>
          <w:t xml:space="preserve">[20]</w:t>
        </w:r>
      </w:hyperlink>
      <w:bookmarkStart w:id="101" w:name="fnref23_3"/>
      <w:bookmarkEnd w:id="101"/>
      <w:hyperlink w:anchor="fn23">
        <w:r>
          <w:rPr>
            <w:rFonts w:eastAsia="inter" w:cs="inter" w:ascii="inter" w:hAnsi="inter"/>
            <w:color w:val="#000"/>
            <w:sz w:val="21"/>
            <w:u w:val="single"/>
            <w:vertAlign w:val="superscript"/>
          </w:rPr>
          <w:t xml:space="preserve">[23]</w:t>
        </w:r>
      </w:hyperlink>
    </w:p>
    <w:p>
      <w:pPr>
        <w:numPr>
          <w:ilvl w:val="0"/>
          <w:numId w:val="22"/>
        </w:numPr>
        <w:spacing w:line="360" w:before="105" w:after="105" w:lineRule="auto"/>
      </w:pPr>
      <w:r>
        <w:rPr>
          <w:rFonts w:eastAsia="inter" w:cs="inter" w:ascii="inter" w:hAnsi="inter"/>
          <w:color w:val="000000"/>
          <w:sz w:val="21"/>
        </w:rPr>
        <w:t xml:space="preserve">Career trajectories: media producer, digital content creator, VR/AI designer, multimedia artist, creative business owner, journalist, producer, social media manager, etc.</w:t>
      </w:r>
      <w:bookmarkStart w:id="102" w:name="fnref38"/>
      <w:bookmarkEnd w:id="102"/>
      <w:hyperlink w:anchor="fn38">
        <w:r>
          <w:rPr>
            <w:rFonts w:eastAsia="inter" w:cs="inter" w:ascii="inter" w:hAnsi="inter"/>
            <w:color w:val="#000"/>
            <w:sz w:val="21"/>
            <w:u w:val="single"/>
            <w:vertAlign w:val="superscript"/>
          </w:rPr>
          <w:t xml:space="preserve">[38]</w:t>
        </w:r>
      </w:hyperlink>
      <w:bookmarkStart w:id="103" w:name="fnref39"/>
      <w:bookmarkEnd w:id="103"/>
      <w:hyperlink w:anchor="fn39">
        <w:r>
          <w:rPr>
            <w:rFonts w:eastAsia="inter" w:cs="inter" w:ascii="inter" w:hAnsi="inter"/>
            <w:color w:val="#000"/>
            <w:sz w:val="21"/>
            <w:u w:val="single"/>
            <w:vertAlign w:val="superscript"/>
          </w:rPr>
          <w:t xml:space="preserve">[39]</w:t>
        </w:r>
      </w:hyperlink>
      <w:bookmarkStart w:id="104" w:name="fnref23_4"/>
      <w:bookmarkEnd w:id="104"/>
      <w:hyperlink w:anchor="fn23">
        <w:r>
          <w:rPr>
            <w:rFonts w:eastAsia="inter" w:cs="inter" w:ascii="inter" w:hAnsi="inter"/>
            <w:color w:val="#000"/>
            <w:sz w:val="21"/>
            <w:u w:val="single"/>
            <w:vertAlign w:val="superscript"/>
          </w:rPr>
          <w:t xml:space="preserve">[23]</w:t>
        </w:r>
      </w:hyperlink>
    </w:p>
    <w:p>
      <w:pPr>
        <w:spacing w:line="360" w:after="210" w:lineRule="auto"/>
      </w:pPr>
      <w:r>
        <w:rPr>
          <w:rFonts w:eastAsia="inter" w:cs="inter" w:ascii="inter" w:hAnsi="inter"/>
          <w:color w:val="000000"/>
        </w:rPr>
        <w:t xml:space="preserve">For you, MMCT (especially with Māori Media &amp; Communication, or Creative Technologies + Māori supervision) is the place to:</w:t>
      </w:r>
    </w:p>
    <w:p>
      <w:pPr>
        <w:numPr>
          <w:ilvl w:val="0"/>
          <w:numId w:val="23"/>
        </w:numPr>
        <w:spacing w:line="360" w:before="105" w:after="105" w:lineRule="auto"/>
      </w:pPr>
      <w:r>
        <w:rPr>
          <w:rFonts w:eastAsia="inter" w:cs="inter" w:ascii="inter" w:hAnsi="inter"/>
          <w:color w:val="000000"/>
          <w:sz w:val="21"/>
        </w:rPr>
        <w:t xml:space="preserve">Build actual AI‑mediated storytelling systems, media installations, narrative platforms, or ceremonial AI tools.</w:t>
      </w:r>
    </w:p>
    <w:p>
      <w:pPr>
        <w:numPr>
          <w:ilvl w:val="0"/>
          <w:numId w:val="23"/>
        </w:numPr>
        <w:spacing w:line="360" w:before="105" w:after="105" w:lineRule="auto"/>
      </w:pPr>
      <w:r>
        <w:rPr>
          <w:rFonts w:eastAsia="inter" w:cs="inter" w:ascii="inter" w:hAnsi="inter"/>
          <w:color w:val="000000"/>
          <w:sz w:val="21"/>
        </w:rPr>
        <w:t xml:space="preserve">Embed the methodological work from the MA into concrete creative technologies, with a year‑long supervised project that can be both practice‑led and research‑driven.</w:t>
      </w:r>
      <w:bookmarkStart w:id="105" w:name="fnref25_2"/>
      <w:bookmarkEnd w:id="105"/>
      <w:hyperlink w:anchor="fn25">
        <w:r>
          <w:rPr>
            <w:rFonts w:eastAsia="inter" w:cs="inter" w:ascii="inter" w:hAnsi="inter"/>
            <w:color w:val="#000"/>
            <w:sz w:val="21"/>
            <w:u w:val="single"/>
            <w:vertAlign w:val="superscript"/>
          </w:rPr>
          <w:t xml:space="preserve">[25]</w:t>
        </w:r>
      </w:hyperlink>
      <w:bookmarkStart w:id="106" w:name="fnref22_3"/>
      <w:bookmarkEnd w:id="106"/>
      <w:hyperlink w:anchor="fn22">
        <w:r>
          <w:rPr>
            <w:rFonts w:eastAsia="inter" w:cs="inter" w:ascii="inter" w:hAnsi="inter"/>
            <w:color w:val="#000"/>
            <w:sz w:val="21"/>
            <w:u w:val="single"/>
            <w:vertAlign w:val="superscript"/>
          </w:rPr>
          <w:t xml:space="preserve">[22]</w:t>
        </w:r>
      </w:hyperlink>
    </w:p>
    <w:p>
      <w:pPr>
        <w:numPr>
          <w:ilvl w:val="0"/>
          <w:numId w:val="24"/>
        </w:numPr>
        <w:spacing w:line="360" w:before="105" w:after="105" w:lineRule="auto"/>
      </w:pPr>
      <w:r>
        <w:rPr>
          <w:rFonts w:eastAsia="inter" w:cs="inter" w:ascii="inter" w:hAnsi="inter"/>
          <w:color w:val="000000"/>
          <w:sz w:val="21"/>
        </w:rPr>
        <w:t xml:space="preserve">Master of Design (MDes) – Design Masters</w:t>
      </w:r>
    </w:p>
    <w:p>
      <w:pPr>
        <w:numPr>
          <w:ilvl w:val="0"/>
          <w:numId w:val="25"/>
        </w:numPr>
        <w:spacing w:line="360" w:before="105" w:after="105" w:lineRule="auto"/>
      </w:pPr>
      <w:r>
        <w:rPr>
          <w:rFonts w:eastAsia="inter" w:cs="inter" w:ascii="inter" w:hAnsi="inter"/>
          <w:color w:val="000000"/>
          <w:sz w:val="21"/>
        </w:rPr>
        <w:t xml:space="preserve">Focuses on design theory, technology and original design research; aim is to specialise in a chosen design/creative‑practices area and execute a large‑scale design research project.</w:t>
      </w:r>
      <w:bookmarkStart w:id="107" w:name="fnref27_1"/>
      <w:bookmarkEnd w:id="107"/>
      <w:hyperlink w:anchor="fn27">
        <w:r>
          <w:rPr>
            <w:rFonts w:eastAsia="inter" w:cs="inter" w:ascii="inter" w:hAnsi="inter"/>
            <w:color w:val="#000"/>
            <w:sz w:val="21"/>
            <w:u w:val="single"/>
            <w:vertAlign w:val="superscript"/>
          </w:rPr>
          <w:t xml:space="preserve">[27]</w:t>
        </w:r>
      </w:hyperlink>
      <w:bookmarkStart w:id="108" w:name="fnref28_1"/>
      <w:bookmarkEnd w:id="108"/>
      <w:hyperlink w:anchor="fn28">
        <w:r>
          <w:rPr>
            <w:rFonts w:eastAsia="inter" w:cs="inter" w:ascii="inter" w:hAnsi="inter"/>
            <w:color w:val="#000"/>
            <w:sz w:val="21"/>
            <w:u w:val="single"/>
            <w:vertAlign w:val="superscript"/>
          </w:rPr>
          <w:t xml:space="preserve">[28]</w:t>
        </w:r>
      </w:hyperlink>
      <w:bookmarkStart w:id="109" w:name="fnref26_1"/>
      <w:bookmarkEnd w:id="109"/>
      <w:hyperlink w:anchor="fn26">
        <w:r>
          <w:rPr>
            <w:rFonts w:eastAsia="inter" w:cs="inter" w:ascii="inter" w:hAnsi="inter"/>
            <w:color w:val="#000"/>
            <w:sz w:val="21"/>
            <w:u w:val="single"/>
            <w:vertAlign w:val="superscript"/>
          </w:rPr>
          <w:t xml:space="preserve">[26]</w:t>
        </w:r>
      </w:hyperlink>
    </w:p>
    <w:p>
      <w:pPr>
        <w:numPr>
          <w:ilvl w:val="0"/>
          <w:numId w:val="25"/>
        </w:numPr>
        <w:spacing w:line="360" w:before="105" w:after="105" w:lineRule="auto"/>
      </w:pPr>
      <w:r>
        <w:rPr>
          <w:rFonts w:eastAsia="inter" w:cs="inter" w:ascii="inter" w:hAnsi="inter"/>
          <w:color w:val="000000"/>
          <w:sz w:val="21"/>
        </w:rPr>
        <w:t xml:space="preserve">Strong on design methods, conceptual design, UX, interaction and visual/experience design; provides a home for exploring design‑thinking, service design, etc. in depth.</w:t>
      </w:r>
      <w:bookmarkStart w:id="110" w:name="fnref40"/>
      <w:bookmarkEnd w:id="110"/>
      <w:hyperlink w:anchor="fn40">
        <w:r>
          <w:rPr>
            <w:rFonts w:eastAsia="inter" w:cs="inter" w:ascii="inter" w:hAnsi="inter"/>
            <w:color w:val="#000"/>
            <w:sz w:val="21"/>
            <w:u w:val="single"/>
            <w:vertAlign w:val="superscript"/>
          </w:rPr>
          <w:t xml:space="preserve">[40]</w:t>
        </w:r>
      </w:hyperlink>
      <w:bookmarkStart w:id="111" w:name="fnref41"/>
      <w:bookmarkEnd w:id="111"/>
      <w:hyperlink w:anchor="fn41">
        <w:r>
          <w:rPr>
            <w:rFonts w:eastAsia="inter" w:cs="inter" w:ascii="inter" w:hAnsi="inter"/>
            <w:color w:val="#000"/>
            <w:sz w:val="21"/>
            <w:u w:val="single"/>
            <w:vertAlign w:val="superscript"/>
          </w:rPr>
          <w:t xml:space="preserve">[41]</w:t>
        </w:r>
      </w:hyperlink>
      <w:bookmarkStart w:id="112" w:name="fnref27_2"/>
      <w:bookmarkEnd w:id="112"/>
      <w:hyperlink w:anchor="fn27">
        <w:r>
          <w:rPr>
            <w:rFonts w:eastAsia="inter" w:cs="inter" w:ascii="inter" w:hAnsi="inter"/>
            <w:color w:val="#000"/>
            <w:sz w:val="21"/>
            <w:u w:val="single"/>
            <w:vertAlign w:val="superscript"/>
          </w:rPr>
          <w:t xml:space="preserve">[27]</w:t>
        </w:r>
      </w:hyperlink>
    </w:p>
    <w:p>
      <w:pPr>
        <w:numPr>
          <w:ilvl w:val="0"/>
          <w:numId w:val="25"/>
        </w:numPr>
        <w:spacing w:line="360" w:before="105" w:after="105" w:lineRule="auto"/>
      </w:pPr>
      <w:r>
        <w:rPr>
          <w:rFonts w:eastAsia="inter" w:cs="inter" w:ascii="inter" w:hAnsi="inter"/>
          <w:color w:val="000000"/>
          <w:sz w:val="21"/>
        </w:rPr>
        <w:t xml:space="preserve">Career trajectories: interaction designer, multimedia specialist, design educator, creative entrepreneur, UI/UX researcher.</w:t>
      </w:r>
      <w:bookmarkStart w:id="113" w:name="fnref28_2"/>
      <w:bookmarkEnd w:id="113"/>
      <w:hyperlink w:anchor="fn28">
        <w:r>
          <w:rPr>
            <w:rFonts w:eastAsia="inter" w:cs="inter" w:ascii="inter" w:hAnsi="inter"/>
            <w:color w:val="#000"/>
            <w:sz w:val="21"/>
            <w:u w:val="single"/>
            <w:vertAlign w:val="superscript"/>
          </w:rPr>
          <w:t xml:space="preserve">[28]</w:t>
        </w:r>
      </w:hyperlink>
      <w:bookmarkStart w:id="114" w:name="fnref27_3"/>
      <w:bookmarkEnd w:id="114"/>
      <w:hyperlink w:anchor="fn27">
        <w:r>
          <w:rPr>
            <w:rFonts w:eastAsia="inter" w:cs="inter" w:ascii="inter" w:hAnsi="inter"/>
            <w:color w:val="#000"/>
            <w:sz w:val="21"/>
            <w:u w:val="single"/>
            <w:vertAlign w:val="superscript"/>
          </w:rPr>
          <w:t xml:space="preserve">[27]</w:t>
        </w:r>
      </w:hyperlink>
    </w:p>
    <w:p>
      <w:pPr>
        <w:spacing w:line="360" w:after="210" w:lineRule="auto"/>
      </w:pPr>
      <w:r>
        <w:rPr>
          <w:rFonts w:eastAsia="inter" w:cs="inter" w:ascii="inter" w:hAnsi="inter"/>
          <w:color w:val="000000"/>
        </w:rPr>
        <w:t xml:space="preserve">For you, MDes is a potential third step / adjunct where the question becomes: how to design ceremony‑aware interfaces, workflows, and service ecosystems for Indigenous‑centred AI and media tools. It will likely be less explicitly Indigenous‑methodology‑centred than the MA, but you can carry that into your topic and seek sympathetic supervisors.</w:t>
      </w:r>
    </w:p>
    <w:p>
      <w:pPr>
        <w:numPr>
          <w:ilvl w:val="0"/>
          <w:numId w:val="26"/>
        </w:numPr>
        <w:spacing w:line="360" w:before="105" w:after="105" w:lineRule="auto"/>
      </w:pPr>
      <w:r>
        <w:rPr>
          <w:rFonts w:eastAsia="inter" w:cs="inter" w:ascii="inter" w:hAnsi="inter"/>
          <w:color w:val="000000"/>
          <w:sz w:val="21"/>
        </w:rPr>
        <w:t xml:space="preserve">Master of Engineering (ME) and Master of Science (MSc) – Engineering / Science &amp; Technologies Masters</w:t>
      </w:r>
    </w:p>
    <w:p>
      <w:pPr>
        <w:numPr>
          <w:ilvl w:val="0"/>
          <w:numId w:val="27"/>
        </w:numPr>
        <w:spacing w:line="360" w:before="105" w:after="105" w:lineRule="auto"/>
      </w:pPr>
      <w:r>
        <w:rPr>
          <w:rFonts w:eastAsia="inter" w:cs="inter" w:ascii="inter" w:hAnsi="inter"/>
          <w:color w:val="000000"/>
          <w:sz w:val="21"/>
        </w:rPr>
        <w:t xml:space="preserve">ME is a research‑focused 12‑month degree aimed at solving an engineering question; strong in mechanical, civil, environmental, electronic, mechatronics, robotics, etc., with some software engineering via Computer Science.</w:t>
      </w:r>
      <w:bookmarkStart w:id="115" w:name="fnref30_1"/>
      <w:bookmarkEnd w:id="115"/>
      <w:hyperlink w:anchor="fn30">
        <w:r>
          <w:rPr>
            <w:rFonts w:eastAsia="inter" w:cs="inter" w:ascii="inter" w:hAnsi="inter"/>
            <w:color w:val="#000"/>
            <w:sz w:val="21"/>
            <w:u w:val="single"/>
            <w:vertAlign w:val="superscript"/>
          </w:rPr>
          <w:t xml:space="preserve">[30]</w:t>
        </w:r>
      </w:hyperlink>
      <w:bookmarkStart w:id="116" w:name="fnref31_1"/>
      <w:bookmarkEnd w:id="116"/>
      <w:hyperlink w:anchor="fn31">
        <w:r>
          <w:rPr>
            <w:rFonts w:eastAsia="inter" w:cs="inter" w:ascii="inter" w:hAnsi="inter"/>
            <w:color w:val="#000"/>
            <w:sz w:val="21"/>
            <w:u w:val="single"/>
            <w:vertAlign w:val="superscript"/>
          </w:rPr>
          <w:t xml:space="preserve">[31]</w:t>
        </w:r>
      </w:hyperlink>
      <w:bookmarkStart w:id="117" w:name="fnref29_1"/>
      <w:bookmarkEnd w:id="117"/>
      <w:hyperlink w:anchor="fn29">
        <w:r>
          <w:rPr>
            <w:rFonts w:eastAsia="inter" w:cs="inter" w:ascii="inter" w:hAnsi="inter"/>
            <w:color w:val="#000"/>
            <w:sz w:val="21"/>
            <w:u w:val="single"/>
            <w:vertAlign w:val="superscript"/>
          </w:rPr>
          <w:t xml:space="preserve">[29]</w:t>
        </w:r>
      </w:hyperlink>
    </w:p>
    <w:p>
      <w:pPr>
        <w:numPr>
          <w:ilvl w:val="0"/>
          <w:numId w:val="27"/>
        </w:numPr>
        <w:spacing w:line="360" w:before="105" w:after="105" w:lineRule="auto"/>
      </w:pPr>
      <w:r>
        <w:rPr>
          <w:rFonts w:eastAsia="inter" w:cs="inter" w:ascii="inter" w:hAnsi="inter"/>
          <w:color w:val="000000"/>
          <w:sz w:val="21"/>
        </w:rPr>
        <w:t xml:space="preserve">MSc is flexible across biological, environmental, computing, math, etc., with a mix of taught papers and a research project or dissertation.</w:t>
      </w:r>
      <w:bookmarkStart w:id="118" w:name="fnref33_1"/>
      <w:bookmarkEnd w:id="118"/>
      <w:hyperlink w:anchor="fn33">
        <w:r>
          <w:rPr>
            <w:rFonts w:eastAsia="inter" w:cs="inter" w:ascii="inter" w:hAnsi="inter"/>
            <w:color w:val="#000"/>
            <w:sz w:val="21"/>
            <w:u w:val="single"/>
            <w:vertAlign w:val="superscript"/>
          </w:rPr>
          <w:t xml:space="preserve">[33]</w:t>
        </w:r>
      </w:hyperlink>
      <w:bookmarkStart w:id="119" w:name="fnref34_1"/>
      <w:bookmarkEnd w:id="119"/>
      <w:hyperlink w:anchor="fn34">
        <w:r>
          <w:rPr>
            <w:rFonts w:eastAsia="inter" w:cs="inter" w:ascii="inter" w:hAnsi="inter"/>
            <w:color w:val="#000"/>
            <w:sz w:val="21"/>
            <w:u w:val="single"/>
            <w:vertAlign w:val="superscript"/>
          </w:rPr>
          <w:t xml:space="preserve">[34]</w:t>
        </w:r>
      </w:hyperlink>
      <w:bookmarkStart w:id="120" w:name="fnref32_1"/>
      <w:bookmarkEnd w:id="120"/>
      <w:hyperlink w:anchor="fn32">
        <w:r>
          <w:rPr>
            <w:rFonts w:eastAsia="inter" w:cs="inter" w:ascii="inter" w:hAnsi="inter"/>
            <w:color w:val="#000"/>
            <w:sz w:val="21"/>
            <w:u w:val="single"/>
            <w:vertAlign w:val="superscript"/>
          </w:rPr>
          <w:t xml:space="preserve">[32]</w:t>
        </w:r>
      </w:hyperlink>
    </w:p>
    <w:p>
      <w:pPr>
        <w:spacing w:line="360" w:after="210" w:lineRule="auto"/>
      </w:pPr>
      <w:r>
        <w:rPr>
          <w:rFonts w:eastAsia="inter" w:cs="inter" w:ascii="inter" w:hAnsi="inter"/>
          <w:color w:val="000000"/>
        </w:rPr>
        <w:t xml:space="preserve">These are excellent for heavy technical work (e.g. core ML, robotics, signal processing, scientific computing). But:</w:t>
      </w:r>
    </w:p>
    <w:p>
      <w:pPr>
        <w:numPr>
          <w:ilvl w:val="0"/>
          <w:numId w:val="28"/>
        </w:numPr>
        <w:spacing w:line="360" w:before="105" w:after="105" w:lineRule="auto"/>
      </w:pPr>
      <w:r>
        <w:rPr>
          <w:rFonts w:eastAsia="inter" w:cs="inter" w:ascii="inter" w:hAnsi="inter"/>
          <w:color w:val="000000"/>
          <w:sz w:val="21"/>
        </w:rPr>
        <w:t xml:space="preserve">Indigenous methodologies are not central to the programmes; you would be “carrying” Kaupapa Māori and Wilson into contexts where supervisors and cohorts are mostly operating under conventional scientific/engineering paradigms.</w:t>
      </w:r>
      <w:bookmarkStart w:id="121" w:name="fnref42"/>
      <w:bookmarkEnd w:id="121"/>
      <w:hyperlink w:anchor="fn42">
        <w:r>
          <w:rPr>
            <w:rFonts w:eastAsia="inter" w:cs="inter" w:ascii="inter" w:hAnsi="inter"/>
            <w:color w:val="#000"/>
            <w:sz w:val="21"/>
            <w:u w:val="single"/>
            <w:vertAlign w:val="superscript"/>
          </w:rPr>
          <w:t xml:space="preserve">[42]</w:t>
        </w:r>
      </w:hyperlink>
      <w:bookmarkStart w:id="122" w:name="fnref33_2"/>
      <w:bookmarkEnd w:id="122"/>
      <w:hyperlink w:anchor="fn33">
        <w:r>
          <w:rPr>
            <w:rFonts w:eastAsia="inter" w:cs="inter" w:ascii="inter" w:hAnsi="inter"/>
            <w:color w:val="#000"/>
            <w:sz w:val="21"/>
            <w:u w:val="single"/>
            <w:vertAlign w:val="superscript"/>
          </w:rPr>
          <w:t xml:space="preserve">[33]</w:t>
        </w:r>
      </w:hyperlink>
    </w:p>
    <w:p>
      <w:pPr>
        <w:numPr>
          <w:ilvl w:val="0"/>
          <w:numId w:val="28"/>
        </w:numPr>
        <w:spacing w:line="360" w:before="105" w:after="105" w:lineRule="auto"/>
      </w:pPr>
      <w:r>
        <w:rPr>
          <w:rFonts w:eastAsia="inter" w:cs="inter" w:ascii="inter" w:hAnsi="inter"/>
          <w:color w:val="000000"/>
          <w:sz w:val="21"/>
        </w:rPr>
        <w:t xml:space="preserve">For your non‑negotiable Q2, they are better as later or parallel technical depth add‑ons, once you have secured an Indigenous methodologies home base in Māori &amp; Indigenous Studies and/or MMCT.</w:t>
      </w:r>
    </w:p>
    <w:p>
      <w:pPr>
        <w:numPr>
          <w:ilvl w:val="0"/>
          <w:numId w:val="29"/>
        </w:numPr>
        <w:spacing w:line="360" w:before="105" w:after="105" w:lineRule="auto"/>
      </w:pPr>
      <w:r>
        <w:rPr>
          <w:rFonts w:eastAsia="inter" w:cs="inter" w:ascii="inter" w:hAnsi="inter"/>
          <w:color w:val="000000"/>
          <w:sz w:val="21"/>
        </w:rPr>
        <w:t xml:space="preserve">Arts Masters in performance (Music/Theatre Studies)</w:t>
      </w:r>
    </w:p>
    <w:p>
      <w:pPr>
        <w:numPr>
          <w:ilvl w:val="0"/>
          <w:numId w:val="30"/>
        </w:numPr>
        <w:spacing w:line="360" w:before="105" w:after="105" w:lineRule="auto"/>
      </w:pPr>
      <w:r>
        <w:rPr>
          <w:rFonts w:eastAsia="inter" w:cs="inter" w:ascii="inter" w:hAnsi="inter"/>
          <w:color w:val="000000"/>
          <w:sz w:val="21"/>
        </w:rPr>
        <w:t xml:space="preserve">Postgraduate music and theatre at Gallagher Academy emphasise practice‑led performance, creative work, and critical reflection, with strong facilities and staff active as performers/composers.</w:t>
      </w:r>
      <w:bookmarkStart w:id="123" w:name="fnref43"/>
      <w:bookmarkEnd w:id="123"/>
      <w:hyperlink w:anchor="fn43">
        <w:r>
          <w:rPr>
            <w:rFonts w:eastAsia="inter" w:cs="inter" w:ascii="inter" w:hAnsi="inter"/>
            <w:color w:val="#000"/>
            <w:sz w:val="21"/>
            <w:u w:val="single"/>
            <w:vertAlign w:val="superscript"/>
          </w:rPr>
          <w:t xml:space="preserve">[43]</w:t>
        </w:r>
      </w:hyperlink>
      <w:bookmarkStart w:id="124" w:name="fnref44"/>
      <w:bookmarkEnd w:id="124"/>
      <w:hyperlink w:anchor="fn44">
        <w:r>
          <w:rPr>
            <w:rFonts w:eastAsia="inter" w:cs="inter" w:ascii="inter" w:hAnsi="inter"/>
            <w:color w:val="#000"/>
            <w:sz w:val="21"/>
            <w:u w:val="single"/>
            <w:vertAlign w:val="superscript"/>
          </w:rPr>
          <w:t xml:space="preserve">[44]</w:t>
        </w:r>
      </w:hyperlink>
      <w:bookmarkStart w:id="125" w:name="fnref45"/>
      <w:bookmarkEnd w:id="125"/>
      <w:hyperlink w:anchor="fn45">
        <w:r>
          <w:rPr>
            <w:rFonts w:eastAsia="inter" w:cs="inter" w:ascii="inter" w:hAnsi="inter"/>
            <w:color w:val="#000"/>
            <w:sz w:val="21"/>
            <w:u w:val="single"/>
            <w:vertAlign w:val="superscript"/>
          </w:rPr>
          <w:t xml:space="preserve">[45]</w:t>
        </w:r>
      </w:hyperlink>
      <w:bookmarkStart w:id="126" w:name="fnref46"/>
      <w:bookmarkEnd w:id="126"/>
      <w:hyperlink w:anchor="fn46">
        <w:r>
          <w:rPr>
            <w:rFonts w:eastAsia="inter" w:cs="inter" w:ascii="inter" w:hAnsi="inter"/>
            <w:color w:val="#000"/>
            <w:sz w:val="21"/>
            <w:u w:val="single"/>
            <w:vertAlign w:val="superscript"/>
          </w:rPr>
          <w:t xml:space="preserve">[46]</w:t>
        </w:r>
      </w:hyperlink>
    </w:p>
    <w:p>
      <w:pPr>
        <w:numPr>
          <w:ilvl w:val="0"/>
          <w:numId w:val="30"/>
        </w:numPr>
        <w:spacing w:line="360" w:before="105" w:after="105" w:lineRule="auto"/>
      </w:pPr>
      <w:r>
        <w:rPr>
          <w:rFonts w:eastAsia="inter" w:cs="inter" w:ascii="inter" w:hAnsi="inter"/>
          <w:color w:val="000000"/>
          <w:sz w:val="21"/>
        </w:rPr>
        <w:t xml:space="preserve">They could host ceremony‑infused performance, theatre, or sonic art projects related to your AI/storytelling work, but Indigenous research methodology is not inherently the organising frame.</w:t>
      </w:r>
    </w:p>
    <w:p>
      <w:pPr>
        <w:spacing w:line="360" w:after="210" w:lineRule="auto"/>
      </w:pPr>
      <w:r>
        <w:rPr>
          <w:rFonts w:eastAsia="inter" w:cs="inter" w:ascii="inter" w:hAnsi="inter"/>
          <w:color w:val="000000"/>
        </w:rPr>
        <w:t xml:space="preserve">These could become collaborators or secondary enrolments – for example, a co‑supervised project between Māori &amp; Indigenous Studies and Theatre or Music, with performance as part of a ceremony‑centred research design.</w:t>
      </w:r>
    </w:p>
    <w:p>
      <w:pPr>
        <w:spacing w:line="360" w:after="210" w:lineRule="auto"/>
      </w:pPr>
      <w:r>
        <w:rPr>
          <w:rFonts w:eastAsia="inter" w:cs="inter" w:ascii="inter" w:hAnsi="inter"/>
          <w:color w:val="000000"/>
        </w:rPr>
        <w:t xml:space="preserve">Concrete programme configurations for your goals</w:t>
      </w:r>
    </w:p>
    <w:p>
      <w:pPr>
        <w:spacing w:line="360" w:after="210" w:lineRule="auto"/>
      </w:pPr>
      <w:r>
        <w:rPr>
          <w:rFonts w:eastAsia="inter" w:cs="inter" w:ascii="inter" w:hAnsi="inter"/>
          <w:color w:val="000000"/>
        </w:rPr>
        <w:t xml:space="preserve">Given your Q1–Q3, a realistic configuration at Waikato that respects your constraints:</w:t>
      </w:r>
    </w:p>
    <w:p>
      <w:pPr>
        <w:numPr>
          <w:ilvl w:val="0"/>
          <w:numId w:val="31"/>
        </w:numPr>
        <w:spacing w:line="360" w:before="105" w:after="105" w:lineRule="auto"/>
      </w:pPr>
      <w:r>
        <w:rPr>
          <w:rFonts w:eastAsia="inter" w:cs="inter" w:ascii="inter" w:hAnsi="inter"/>
          <w:color w:val="000000"/>
          <w:sz w:val="21"/>
        </w:rPr>
        <w:t xml:space="preserve">Core methodological home: MA in Māori and Indigenous Studies (Arts Masters)</w:t>
      </w:r>
    </w:p>
    <w:p>
      <w:pPr>
        <w:numPr>
          <w:ilvl w:val="0"/>
          <w:numId w:val="32"/>
        </w:numPr>
        <w:spacing w:line="360" w:before="105" w:after="105" w:lineRule="auto"/>
      </w:pPr>
      <w:r>
        <w:rPr>
          <w:rFonts w:eastAsia="inter" w:cs="inter" w:ascii="inter" w:hAnsi="inter"/>
          <w:color w:val="000000"/>
          <w:sz w:val="21"/>
        </w:rPr>
        <w:t xml:space="preserve">Primary thesis: development of an Indigenous methodology for AI and narrative systems rooted in Kaupapa Māori and Wilson’s research‑as‑ceremony paradigm.</w:t>
      </w:r>
    </w:p>
    <w:p>
      <w:pPr>
        <w:numPr>
          <w:ilvl w:val="0"/>
          <w:numId w:val="32"/>
        </w:numPr>
        <w:spacing w:line="360" w:before="105" w:after="105" w:lineRule="auto"/>
      </w:pPr>
      <w:r>
        <w:rPr>
          <w:rFonts w:eastAsia="inter" w:cs="inter" w:ascii="inter" w:hAnsi="inter"/>
          <w:color w:val="000000"/>
          <w:sz w:val="21"/>
        </w:rPr>
        <w:t xml:space="preserve">Subject matter:</w:t>
      </w:r>
    </w:p>
    <w:p>
      <w:pPr>
        <w:numPr>
          <w:ilvl w:val="1"/>
          <w:numId w:val="32"/>
        </w:numPr>
        <w:spacing w:line="360" w:before="105" w:after="105" w:lineRule="auto"/>
      </w:pPr>
      <w:r>
        <w:rPr>
          <w:rFonts w:eastAsia="inter" w:cs="inter" w:ascii="inter" w:hAnsi="inter"/>
          <w:color w:val="000000"/>
          <w:sz w:val="21"/>
        </w:rPr>
        <w:t xml:space="preserve">Comparative analysis of Kaupapa Māori, </w:t>
      </w:r>
      <w:r>
        <w:rPr>
          <w:rFonts w:eastAsia="inter" w:cs="inter" w:ascii="inter" w:hAnsi="inter"/>
          <w:i/>
          <w:color w:val="000000"/>
          <w:sz w:val="21"/>
        </w:rPr>
        <w:t xml:space="preserve">Research Is Ceremony</w:t>
      </w:r>
      <w:r>
        <w:rPr>
          <w:rFonts w:eastAsia="inter" w:cs="inter" w:ascii="inter" w:hAnsi="inter"/>
          <w:color w:val="000000"/>
          <w:sz w:val="21"/>
        </w:rPr>
        <w:t xml:space="preserve">, and related paradigms (Kovach, Chilisa, Two‑Eyed Seeing, etc.) in relation to algorithmic systems and media ecologies.</w:t>
      </w:r>
    </w:p>
    <w:p>
      <w:pPr>
        <w:numPr>
          <w:ilvl w:val="1"/>
          <w:numId w:val="32"/>
        </w:numPr>
        <w:spacing w:line="360" w:before="105" w:after="105" w:lineRule="auto"/>
      </w:pPr>
      <w:r>
        <w:rPr>
          <w:rFonts w:eastAsia="inter" w:cs="inter" w:ascii="inter" w:hAnsi="inter"/>
          <w:color w:val="000000"/>
          <w:sz w:val="21"/>
        </w:rPr>
        <w:t xml:space="preserve">Design of a ceremony‑aware research protocol and governance framework for AI‑mediated narrative work with Māori and pan‑Indigenous partners.</w:t>
      </w:r>
    </w:p>
    <w:p>
      <w:pPr>
        <w:numPr>
          <w:ilvl w:val="0"/>
          <w:numId w:val="32"/>
        </w:numPr>
        <w:spacing w:line="360" w:before="105" w:after="105" w:lineRule="auto"/>
      </w:pPr>
      <w:r>
        <w:rPr>
          <w:rFonts w:eastAsia="inter" w:cs="inter" w:ascii="inter" w:hAnsi="inter"/>
          <w:color w:val="000000"/>
          <w:sz w:val="21"/>
        </w:rPr>
        <w:t xml:space="preserve">Outputs: written thesis, possibly with practice‑based components (e.g. prototype protocols, story cycles, ceremonial interaction scripts).</w:t>
      </w:r>
    </w:p>
    <w:p>
      <w:pPr>
        <w:spacing w:line="360" w:after="210" w:lineRule="auto"/>
      </w:pPr>
      <w:r>
        <w:rPr>
          <w:rFonts w:eastAsia="inter" w:cs="inter" w:ascii="inter" w:hAnsi="inter"/>
          <w:color w:val="000000"/>
        </w:rPr>
        <w:t xml:space="preserve">Kaupapa Māori is primary methodology; Wilson provides the relational/ceremonial meta‑architecture. This directly addresses your wish to transform Indigenous research/ceremonial practice.</w:t>
      </w:r>
    </w:p>
    <w:p>
      <w:pPr>
        <w:numPr>
          <w:ilvl w:val="0"/>
          <w:numId w:val="33"/>
        </w:numPr>
        <w:spacing w:line="360" w:before="105" w:after="105" w:lineRule="auto"/>
      </w:pPr>
      <w:r>
        <w:rPr>
          <w:rFonts w:eastAsia="inter" w:cs="inter" w:ascii="inter" w:hAnsi="inter"/>
          <w:color w:val="000000"/>
          <w:sz w:val="21"/>
        </w:rPr>
        <w:t xml:space="preserve">Applied creative‑tech home: MMCT (Media and Creative Technologies Masters), preferably with Māori Media and Communication or Creative Technologies focus</w:t>
      </w:r>
    </w:p>
    <w:p>
      <w:pPr>
        <w:numPr>
          <w:ilvl w:val="0"/>
          <w:numId w:val="34"/>
        </w:numPr>
        <w:spacing w:line="360" w:before="105" w:after="105" w:lineRule="auto"/>
      </w:pPr>
      <w:r>
        <w:rPr>
          <w:rFonts w:eastAsia="inter" w:cs="inter" w:ascii="inter" w:hAnsi="inter"/>
          <w:color w:val="000000"/>
          <w:sz w:val="21"/>
        </w:rPr>
        <w:t xml:space="preserve">Major creative research project: AI‑assisted storytelling systems, interactive ceremonial media, or narrative AI agents co‑designed with Māori communities.</w:t>
      </w:r>
    </w:p>
    <w:p>
      <w:pPr>
        <w:numPr>
          <w:ilvl w:val="0"/>
          <w:numId w:val="34"/>
        </w:numPr>
        <w:spacing w:line="360" w:before="105" w:after="105" w:lineRule="auto"/>
      </w:pPr>
      <w:r>
        <w:rPr>
          <w:rFonts w:eastAsia="inter" w:cs="inter" w:ascii="inter" w:hAnsi="inter"/>
          <w:color w:val="000000"/>
          <w:sz w:val="21"/>
        </w:rPr>
        <w:t xml:space="preserve">Methods: practice‑led research, prototyping, iterative co‑design, with Kaupapa Māori and Wilson’s relational accountability embedded as your methodological frame (brought in from your MA work).</w:t>
      </w:r>
      <w:bookmarkStart w:id="127" w:name="fnref23_5"/>
      <w:bookmarkEnd w:id="127"/>
      <w:hyperlink w:anchor="fn23">
        <w:r>
          <w:rPr>
            <w:rFonts w:eastAsia="inter" w:cs="inter" w:ascii="inter" w:hAnsi="inter"/>
            <w:color w:val="#000"/>
            <w:sz w:val="21"/>
            <w:u w:val="single"/>
            <w:vertAlign w:val="superscript"/>
          </w:rPr>
          <w:t xml:space="preserve">[23]</w:t>
        </w:r>
      </w:hyperlink>
      <w:bookmarkStart w:id="128" w:name="fnref22_4"/>
      <w:bookmarkEnd w:id="128"/>
      <w:hyperlink w:anchor="fn22">
        <w:r>
          <w:rPr>
            <w:rFonts w:eastAsia="inter" w:cs="inter" w:ascii="inter" w:hAnsi="inter"/>
            <w:color w:val="#000"/>
            <w:sz w:val="21"/>
            <w:u w:val="single"/>
            <w:vertAlign w:val="superscript"/>
          </w:rPr>
          <w:t xml:space="preserve">[22]</w:t>
        </w:r>
      </w:hyperlink>
    </w:p>
    <w:p>
      <w:pPr>
        <w:numPr>
          <w:ilvl w:val="0"/>
          <w:numId w:val="34"/>
        </w:numPr>
        <w:spacing w:line="360" w:before="105" w:after="105" w:lineRule="auto"/>
      </w:pPr>
      <w:r>
        <w:rPr>
          <w:rFonts w:eastAsia="inter" w:cs="inter" w:ascii="inter" w:hAnsi="inter"/>
          <w:color w:val="000000"/>
          <w:sz w:val="21"/>
        </w:rPr>
        <w:t xml:space="preserve">Outputs: portfolio of audio‑visual/digital works (e.g. short films, VR/AR experiences, AI‑driven interactions), with critical exegesis that explicitly argues for research as ceremony.</w:t>
      </w:r>
    </w:p>
    <w:p>
      <w:pPr>
        <w:spacing w:line="360" w:after="210" w:lineRule="auto"/>
      </w:pPr>
      <w:r>
        <w:rPr>
          <w:rFonts w:eastAsia="inter" w:cs="inter" w:ascii="inter" w:hAnsi="inter"/>
          <w:color w:val="000000"/>
        </w:rPr>
        <w:t xml:space="preserve">This satisfies your drive toward AI/media/creative technology and supports Q3’s industry/innovation pathway, while still allowing Indigenous‑centred supervision, especially if you anchor in Māori Media &amp; Communication.</w:t>
      </w:r>
      <w:bookmarkStart w:id="129" w:name="fnref20_4"/>
      <w:bookmarkEnd w:id="129"/>
      <w:hyperlink w:anchor="fn20">
        <w:r>
          <w:rPr>
            <w:rFonts w:eastAsia="inter" w:cs="inter" w:ascii="inter" w:hAnsi="inter"/>
            <w:color w:val="#000"/>
            <w:u w:val="single"/>
            <w:vertAlign w:val="superscript"/>
          </w:rPr>
          <w:t xml:space="preserve">[20]</w:t>
        </w:r>
      </w:hyperlink>
      <w:bookmarkStart w:id="130" w:name="fnref23_6"/>
      <w:bookmarkEnd w:id="130"/>
      <w:hyperlink w:anchor="fn23">
        <w:r>
          <w:rPr>
            <w:rFonts w:eastAsia="inter" w:cs="inter" w:ascii="inter" w:hAnsi="inter"/>
            <w:color w:val="#000"/>
            <w:u w:val="single"/>
            <w:vertAlign w:val="superscript"/>
          </w:rPr>
          <w:t xml:space="preserve">[23]</w:t>
        </w:r>
      </w:hyperlink>
    </w:p>
    <w:p>
      <w:pPr>
        <w:numPr>
          <w:ilvl w:val="0"/>
          <w:numId w:val="35"/>
        </w:numPr>
        <w:spacing w:line="360" w:before="105" w:after="105" w:lineRule="auto"/>
      </w:pPr>
      <w:r>
        <w:rPr>
          <w:rFonts w:eastAsia="inter" w:cs="inter" w:ascii="inter" w:hAnsi="inter"/>
          <w:color w:val="000000"/>
          <w:sz w:val="21"/>
        </w:rPr>
        <w:t xml:space="preserve">Optional third vector: Master of Design as a specialised design‑research layer</w:t>
      </w:r>
    </w:p>
    <w:p>
      <w:pPr>
        <w:spacing w:line="360" w:after="210" w:lineRule="auto"/>
      </w:pPr>
      <w:r>
        <w:rPr>
          <w:rFonts w:eastAsia="inter" w:cs="inter" w:ascii="inter" w:hAnsi="inter"/>
          <w:color w:val="000000"/>
        </w:rPr>
        <w:t xml:space="preserve">If you want to go further into the design of tools, interfaces and services that operationalise your methodology (e.g. ceremony‑aware research management tools, AI orchestration dashboards grounded in whakapapa, or design systems for Indigenous‑centred media labs), MDes offers the design‑research frame to do that.</w:t>
      </w:r>
      <w:bookmarkStart w:id="131" w:name="fnref26_2"/>
      <w:bookmarkEnd w:id="131"/>
      <w:hyperlink w:anchor="fn26">
        <w:r>
          <w:rPr>
            <w:rFonts w:eastAsia="inter" w:cs="inter" w:ascii="inter" w:hAnsi="inter"/>
            <w:color w:val="#000"/>
            <w:u w:val="single"/>
            <w:vertAlign w:val="superscript"/>
          </w:rPr>
          <w:t xml:space="preserve">[26]</w:t>
        </w:r>
      </w:hyperlink>
      <w:bookmarkStart w:id="132" w:name="fnref27_4"/>
      <w:bookmarkEnd w:id="132"/>
      <w:hyperlink w:anchor="fn27">
        <w:r>
          <w:rPr>
            <w:rFonts w:eastAsia="inter" w:cs="inter" w:ascii="inter" w:hAnsi="inter"/>
            <w:color w:val="#000"/>
            <w:u w:val="single"/>
            <w:vertAlign w:val="superscript"/>
          </w:rPr>
          <w:t xml:space="preserve">[27]</w:t>
        </w:r>
      </w:hyperlink>
      <w:bookmarkStart w:id="133" w:name="fnref28_3"/>
      <w:bookmarkEnd w:id="133"/>
      <w:hyperlink w:anchor="fn28">
        <w:r>
          <w:rPr>
            <w:rFonts w:eastAsia="inter" w:cs="inter" w:ascii="inter" w:hAnsi="inter"/>
            <w:color w:val="#000"/>
            <w:u w:val="single"/>
            <w:vertAlign w:val="superscript"/>
          </w:rPr>
          <w:t xml:space="preserve">[28]</w:t>
        </w:r>
      </w:hyperlink>
    </w:p>
    <w:p>
      <w:pPr>
        <w:spacing w:line="360" w:after="210" w:lineRule="auto"/>
      </w:pPr>
      <w:r>
        <w:rPr>
          <w:rFonts w:eastAsia="inter" w:cs="inter" w:ascii="inter" w:hAnsi="inter"/>
          <w:color w:val="000000"/>
        </w:rPr>
        <w:t xml:space="preserve">In that case:</w:t>
      </w:r>
    </w:p>
    <w:p>
      <w:pPr>
        <w:numPr>
          <w:ilvl w:val="0"/>
          <w:numId w:val="36"/>
        </w:numPr>
        <w:spacing w:line="360" w:before="105" w:after="105" w:lineRule="auto"/>
      </w:pPr>
      <w:r>
        <w:rPr>
          <w:rFonts w:eastAsia="inter" w:cs="inter" w:ascii="inter" w:hAnsi="inter"/>
          <w:color w:val="000000"/>
          <w:sz w:val="21"/>
        </w:rPr>
        <w:t xml:space="preserve">MA (Māori &amp; Indigenous Studies) – paradigm and protocols.</w:t>
      </w:r>
    </w:p>
    <w:p>
      <w:pPr>
        <w:numPr>
          <w:ilvl w:val="0"/>
          <w:numId w:val="36"/>
        </w:numPr>
        <w:spacing w:line="360" w:before="105" w:after="105" w:lineRule="auto"/>
      </w:pPr>
      <w:r>
        <w:rPr>
          <w:rFonts w:eastAsia="inter" w:cs="inter" w:ascii="inter" w:hAnsi="inter"/>
          <w:color w:val="000000"/>
          <w:sz w:val="21"/>
        </w:rPr>
        <w:t xml:space="preserve">MMCT – media/AI/story implementation and creative research.</w:t>
      </w:r>
    </w:p>
    <w:p>
      <w:pPr>
        <w:numPr>
          <w:ilvl w:val="0"/>
          <w:numId w:val="36"/>
        </w:numPr>
        <w:spacing w:line="360" w:before="105" w:after="105" w:lineRule="auto"/>
      </w:pPr>
      <w:r>
        <w:rPr>
          <w:rFonts w:eastAsia="inter" w:cs="inter" w:ascii="inter" w:hAnsi="inter"/>
          <w:color w:val="000000"/>
          <w:sz w:val="21"/>
        </w:rPr>
        <w:t xml:space="preserve">MDes – design of reusable, shareable design frameworks and artefacts.</w:t>
      </w:r>
    </w:p>
    <w:p>
      <w:pPr>
        <w:spacing w:line="360" w:after="210" w:lineRule="auto"/>
      </w:pPr>
      <w:r>
        <w:rPr>
          <w:rFonts w:eastAsia="inter" w:cs="inter" w:ascii="inter" w:hAnsi="inter"/>
          <w:color w:val="000000"/>
        </w:rPr>
        <w:t xml:space="preserve">Engineering or Science Masters become optional later bolt‑ons if you decide you need deep hardcore ML/engineering credentialing; they are not ideal first homes given Q2.</w:t>
      </w:r>
    </w:p>
    <w:p>
      <w:pPr>
        <w:spacing w:line="360" w:after="210" w:lineRule="auto"/>
      </w:pPr>
      <w:r>
        <w:rPr>
          <w:rFonts w:eastAsia="inter" w:cs="inter" w:ascii="inter" w:hAnsi="inter"/>
          <w:color w:val="000000"/>
        </w:rPr>
        <w:t xml:space="preserve">Programme‑selection logic mapped back to Kaupapa Māori vs Wilson</w:t>
      </w:r>
    </w:p>
    <w:p>
      <w:pPr>
        <w:numPr>
          <w:ilvl w:val="0"/>
          <w:numId w:val="37"/>
        </w:numPr>
        <w:spacing w:line="360" w:after="210" w:lineRule="auto"/>
      </w:pPr>
      <w:r>
        <w:rPr>
          <w:rFonts w:eastAsia="inter" w:cs="inter" w:ascii="inter" w:hAnsi="inter"/>
          <w:color w:val="000000"/>
          <w:sz w:val="21"/>
        </w:rPr>
        <w:t xml:space="preserve">MA in Māori &amp; Indigenous Studies:</w:t>
      </w:r>
    </w:p>
    <w:p>
      <w:pPr>
        <w:numPr>
          <w:ilvl w:val="1"/>
          <w:numId w:val="37"/>
        </w:numPr>
        <w:spacing w:line="360" w:before="105" w:after="105" w:lineRule="auto"/>
      </w:pPr>
      <w:r>
        <w:rPr>
          <w:rFonts w:eastAsia="inter" w:cs="inter" w:ascii="inter" w:hAnsi="inter"/>
          <w:color w:val="000000"/>
          <w:sz w:val="21"/>
        </w:rPr>
        <w:t xml:space="preserve">Dominated by Kaupapa Māori and related Māori methodologies; this is where you root yourself in local tikanga, iwi/hapū relationships, Māori political projects, and institutional decolonisation work at Waikato.</w:t>
      </w:r>
      <w:bookmarkStart w:id="134" w:name="fnref37_1"/>
      <w:bookmarkEnd w:id="134"/>
      <w:hyperlink w:anchor="fn37">
        <w:r>
          <w:rPr>
            <w:rFonts w:eastAsia="inter" w:cs="inter" w:ascii="inter" w:hAnsi="inter"/>
            <w:color w:val="#000"/>
            <w:sz w:val="21"/>
            <w:u w:val="single"/>
            <w:vertAlign w:val="superscript"/>
          </w:rPr>
          <w:t xml:space="preserve">[37]</w:t>
        </w:r>
      </w:hyperlink>
      <w:bookmarkStart w:id="135" w:name="fnref17_2"/>
      <w:bookmarkEnd w:id="135"/>
      <w:hyperlink w:anchor="fn17">
        <w:r>
          <w:rPr>
            <w:rFonts w:eastAsia="inter" w:cs="inter" w:ascii="inter" w:hAnsi="inter"/>
            <w:color w:val="#000"/>
            <w:sz w:val="21"/>
            <w:u w:val="single"/>
            <w:vertAlign w:val="superscript"/>
          </w:rPr>
          <w:t xml:space="preserve">[17]</w:t>
        </w:r>
      </w:hyperlink>
      <w:bookmarkStart w:id="136" w:name="fnref20_5"/>
      <w:bookmarkEnd w:id="136"/>
      <w:hyperlink w:anchor="fn20">
        <w:r>
          <w:rPr>
            <w:rFonts w:eastAsia="inter" w:cs="inter" w:ascii="inter" w:hAnsi="inter"/>
            <w:color w:val="#000"/>
            <w:sz w:val="21"/>
            <w:u w:val="single"/>
            <w:vertAlign w:val="superscript"/>
          </w:rPr>
          <w:t xml:space="preserve">[20]</w:t>
        </w:r>
      </w:hyperlink>
    </w:p>
    <w:p>
      <w:pPr>
        <w:numPr>
          <w:ilvl w:val="1"/>
          <w:numId w:val="37"/>
        </w:numPr>
        <w:spacing w:line="360" w:before="105" w:after="105" w:lineRule="auto"/>
      </w:pPr>
      <w:r>
        <w:rPr>
          <w:rFonts w:eastAsia="inter" w:cs="inter" w:ascii="inter" w:hAnsi="inter"/>
          <w:color w:val="000000"/>
          <w:sz w:val="21"/>
        </w:rPr>
        <w:t xml:space="preserve">Wilson’s </w:t>
      </w:r>
      <w:r>
        <w:rPr>
          <w:rFonts w:eastAsia="inter" w:cs="inter" w:ascii="inter" w:hAnsi="inter"/>
          <w:i/>
          <w:color w:val="000000"/>
          <w:sz w:val="21"/>
        </w:rPr>
        <w:t xml:space="preserve">Research Is Ceremony</w:t>
      </w:r>
      <w:r>
        <w:rPr>
          <w:rFonts w:eastAsia="inter" w:cs="inter" w:ascii="inter" w:hAnsi="inter"/>
          <w:color w:val="000000"/>
          <w:sz w:val="21"/>
        </w:rPr>
        <w:t xml:space="preserve"> here functions as one of your key theoretical texts, especially for articulating research as ceremony, relational accountability, and your own position within multiple Indigenous and technological relationships.</w:t>
      </w:r>
      <w:bookmarkStart w:id="137" w:name="fnref11_6"/>
      <w:bookmarkEnd w:id="137"/>
      <w:hyperlink w:anchor="fn11">
        <w:r>
          <w:rPr>
            <w:rFonts w:eastAsia="inter" w:cs="inter" w:ascii="inter" w:hAnsi="inter"/>
            <w:color w:val="#000"/>
            <w:sz w:val="21"/>
            <w:u w:val="single"/>
            <w:vertAlign w:val="superscript"/>
          </w:rPr>
          <w:t xml:space="preserve">[11]</w:t>
        </w:r>
      </w:hyperlink>
      <w:bookmarkStart w:id="138" w:name="fnref12_9"/>
      <w:bookmarkEnd w:id="138"/>
      <w:hyperlink w:anchor="fn12">
        <w:r>
          <w:rPr>
            <w:rFonts w:eastAsia="inter" w:cs="inter" w:ascii="inter" w:hAnsi="inter"/>
            <w:color w:val="#000"/>
            <w:sz w:val="21"/>
            <w:u w:val="single"/>
            <w:vertAlign w:val="superscript"/>
          </w:rPr>
          <w:t xml:space="preserve">[12]</w:t>
        </w:r>
      </w:hyperlink>
    </w:p>
    <w:p>
      <w:pPr>
        <w:numPr>
          <w:ilvl w:val="0"/>
          <w:numId w:val="37"/>
        </w:numPr>
        <w:spacing w:line="360" w:after="210" w:lineRule="auto"/>
      </w:pPr>
      <w:r>
        <w:rPr>
          <w:rFonts w:eastAsia="inter" w:cs="inter" w:ascii="inter" w:hAnsi="inter"/>
          <w:color w:val="000000"/>
          <w:sz w:val="21"/>
        </w:rPr>
        <w:t xml:space="preserve">MMCT (with Māori Media and Communication / Creative Technologies):</w:t>
      </w:r>
    </w:p>
    <w:p>
      <w:pPr>
        <w:numPr>
          <w:ilvl w:val="1"/>
          <w:numId w:val="37"/>
        </w:numPr>
        <w:spacing w:line="360" w:before="105" w:after="105" w:lineRule="auto"/>
      </w:pPr>
      <w:r>
        <w:rPr>
          <w:rFonts w:eastAsia="inter" w:cs="inter" w:ascii="inter" w:hAnsi="inter"/>
          <w:color w:val="000000"/>
          <w:sz w:val="21"/>
        </w:rPr>
        <w:t xml:space="preserve">Kaupapa Māori shapes your obligations to Māori media ecologies, representation, narrative sovereignty, and data/creative governance.</w:t>
      </w:r>
      <w:bookmarkStart w:id="139" w:name="fnref18_2"/>
      <w:bookmarkEnd w:id="139"/>
      <w:hyperlink w:anchor="fn18">
        <w:r>
          <w:rPr>
            <w:rFonts w:eastAsia="inter" w:cs="inter" w:ascii="inter" w:hAnsi="inter"/>
            <w:color w:val="#000"/>
            <w:sz w:val="21"/>
            <w:u w:val="single"/>
            <w:vertAlign w:val="superscript"/>
          </w:rPr>
          <w:t xml:space="preserve">[18]</w:t>
        </w:r>
      </w:hyperlink>
      <w:bookmarkStart w:id="140" w:name="fnref3_7"/>
      <w:bookmarkEnd w:id="140"/>
      <w:hyperlink w:anchor="fn3">
        <w:r>
          <w:rPr>
            <w:rFonts w:eastAsia="inter" w:cs="inter" w:ascii="inter" w:hAnsi="inter"/>
            <w:color w:val="#000"/>
            <w:sz w:val="21"/>
            <w:u w:val="single"/>
            <w:vertAlign w:val="superscript"/>
          </w:rPr>
          <w:t xml:space="preserve">[3]</w:t>
        </w:r>
      </w:hyperlink>
    </w:p>
    <w:p>
      <w:pPr>
        <w:numPr>
          <w:ilvl w:val="1"/>
          <w:numId w:val="37"/>
        </w:numPr>
        <w:spacing w:line="360" w:before="105" w:after="105" w:lineRule="auto"/>
      </w:pPr>
      <w:r>
        <w:rPr>
          <w:rFonts w:eastAsia="inter" w:cs="inter" w:ascii="inter" w:hAnsi="inter"/>
          <w:color w:val="000000"/>
          <w:sz w:val="21"/>
        </w:rPr>
        <w:t xml:space="preserve">Wilson’s paradigm shapes how your project behaves as ceremony: the way the AI or media system participates in relationships, the way collaborations and exhibitions are structured, how feedback loops are treated as ongoing ceremony rather than one‑off “user testing”.</w:t>
      </w:r>
      <w:bookmarkStart w:id="141" w:name="fnref14_5"/>
      <w:bookmarkEnd w:id="141"/>
      <w:hyperlink w:anchor="fn14">
        <w:r>
          <w:rPr>
            <w:rFonts w:eastAsia="inter" w:cs="inter" w:ascii="inter" w:hAnsi="inter"/>
            <w:color w:val="#000"/>
            <w:sz w:val="21"/>
            <w:u w:val="single"/>
            <w:vertAlign w:val="superscript"/>
          </w:rPr>
          <w:t xml:space="preserve">[14]</w:t>
        </w:r>
      </w:hyperlink>
      <w:bookmarkStart w:id="142" w:name="fnref13_4"/>
      <w:bookmarkEnd w:id="142"/>
      <w:hyperlink w:anchor="fn13">
        <w:r>
          <w:rPr>
            <w:rFonts w:eastAsia="inter" w:cs="inter" w:ascii="inter" w:hAnsi="inter"/>
            <w:color w:val="#000"/>
            <w:sz w:val="21"/>
            <w:u w:val="single"/>
            <w:vertAlign w:val="superscript"/>
          </w:rPr>
          <w:t xml:space="preserve">[13]</w:t>
        </w:r>
      </w:hyperlink>
    </w:p>
    <w:p>
      <w:pPr>
        <w:numPr>
          <w:ilvl w:val="0"/>
          <w:numId w:val="37"/>
        </w:numPr>
        <w:spacing w:line="360" w:after="210" w:lineRule="auto"/>
      </w:pPr>
      <w:r>
        <w:rPr>
          <w:rFonts w:eastAsia="inter" w:cs="inter" w:ascii="inter" w:hAnsi="inter"/>
          <w:color w:val="000000"/>
          <w:sz w:val="21"/>
        </w:rPr>
        <w:t xml:space="preserve">Optional MDes:</w:t>
      </w:r>
    </w:p>
    <w:p>
      <w:pPr>
        <w:numPr>
          <w:ilvl w:val="1"/>
          <w:numId w:val="37"/>
        </w:numPr>
        <w:spacing w:line="360" w:before="105" w:after="105" w:lineRule="auto"/>
      </w:pPr>
      <w:r>
        <w:rPr>
          <w:rFonts w:eastAsia="inter" w:cs="inter" w:ascii="inter" w:hAnsi="inter"/>
          <w:color w:val="000000"/>
          <w:sz w:val="21"/>
        </w:rPr>
        <w:t xml:space="preserve">Kaupapa Māori constrains and inspires your design ethics, ensuring that design decisions uphold mana, whakapapa and whanaungatanga.</w:t>
      </w:r>
    </w:p>
    <w:p>
      <w:pPr>
        <w:numPr>
          <w:ilvl w:val="1"/>
          <w:numId w:val="37"/>
        </w:numPr>
        <w:spacing w:line="360" w:before="105" w:after="105" w:lineRule="auto"/>
      </w:pPr>
      <w:r>
        <w:rPr>
          <w:rFonts w:eastAsia="inter" w:cs="inter" w:ascii="inter" w:hAnsi="inter"/>
          <w:color w:val="000000"/>
          <w:sz w:val="21"/>
        </w:rPr>
        <w:t xml:space="preserve">Wilson’s paradigm guides you to see design processes themselves as ceremony – where iteration is not just optimisation but re‑entering and deepening relationships with people, land and code.</w:t>
      </w:r>
    </w:p>
    <w:p>
      <w:pPr>
        <w:spacing w:line="360" w:after="210" w:lineRule="auto"/>
      </w:pPr>
      <w:r>
        <w:rPr>
          <w:rFonts w:eastAsia="inter" w:cs="inter" w:ascii="inter" w:hAnsi="inter"/>
          <w:color w:val="000000"/>
        </w:rPr>
        <w:t xml:space="preserve">This combination satisfies:</w:t>
      </w:r>
    </w:p>
    <w:p>
      <w:pPr>
        <w:numPr>
          <w:ilvl w:val="0"/>
          <w:numId w:val="38"/>
        </w:numPr>
        <w:spacing w:line="360" w:before="105" w:after="105" w:lineRule="auto"/>
      </w:pPr>
      <w:r>
        <w:rPr>
          <w:rFonts w:eastAsia="inter" w:cs="inter" w:ascii="inter" w:hAnsi="inter"/>
          <w:color w:val="000000"/>
          <w:sz w:val="21"/>
        </w:rPr>
        <w:t xml:space="preserve">Q1’s dual aim (transform Indigenous research/ceremony and build media/AI/story systems).</w:t>
      </w:r>
    </w:p>
    <w:p>
      <w:pPr>
        <w:numPr>
          <w:ilvl w:val="0"/>
          <w:numId w:val="38"/>
        </w:numPr>
        <w:spacing w:line="360" w:before="105" w:after="105" w:lineRule="auto"/>
      </w:pPr>
      <w:r>
        <w:rPr>
          <w:rFonts w:eastAsia="inter" w:cs="inter" w:ascii="inter" w:hAnsi="inter"/>
          <w:color w:val="000000"/>
          <w:sz w:val="21"/>
        </w:rPr>
        <w:t xml:space="preserve">Q2’s requirement for an Indigenous methodologies‑centred core (MA Māori &amp; Indigenous Studies, plus Māori Media &amp; Communication as subject option in MMCT).</w:t>
      </w:r>
    </w:p>
    <w:p>
      <w:pPr>
        <w:numPr>
          <w:ilvl w:val="0"/>
          <w:numId w:val="38"/>
        </w:numPr>
        <w:spacing w:line="360" w:before="105" w:after="105" w:lineRule="auto"/>
      </w:pPr>
      <w:r>
        <w:rPr>
          <w:rFonts w:eastAsia="inter" w:cs="inter" w:ascii="inter" w:hAnsi="inter"/>
          <w:color w:val="000000"/>
          <w:sz w:val="21"/>
        </w:rPr>
        <w:t xml:space="preserve">Q3’s hybrid future (community‑based/ceremonial stewardship via Māori &amp; Indigenous Studies; industry/innovation via MMCT and possibly MDes).</w:t>
      </w:r>
    </w:p>
    <w:p>
      <w:pPr>
        <w:spacing w:line="360" w:after="210" w:lineRule="auto"/>
      </w:pPr>
      <w:r>
        <w:rPr>
          <w:rFonts w:eastAsia="inter" w:cs="inter" w:ascii="inter" w:hAnsi="inter"/>
          <w:color w:val="000000"/>
        </w:rPr>
        <w:t xml:space="preserve">If you want, the next step can be to sketch 2–3 concrete thesis titles and project bundles (e.g. “bundle A = MA+MMCT in parallel, bundle B = sequential, bundle C = MA+MMCT+MDes”) with workload and time implications laid out explicitly.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43" w:name="fn1"/>
    <w:bookmarkEnd w:id="143"/>
    <w:p>
      <w:pPr>
        <w:numPr>
          <w:ilvl w:val="0"/>
          <w:numId w:val="40"/>
        </w:numPr>
        <w:spacing w:line="360" w:after="210" w:lineRule="auto"/>
      </w:pPr>
      <w:hyperlink r:id="rId6">
        <w:r>
          <w:rPr>
            <w:rFonts w:eastAsia="inter" w:cs="inter" w:ascii="inter" w:hAnsi="inter"/>
            <w:color w:val="#000"/>
            <w:sz w:val="18"/>
            <w:u w:val="single"/>
          </w:rPr>
          <w:t xml:space="preserve">https://nycstandswithstandingrock.files.wordpress.com/2016/10/linda-tuhiwai-smith-decolonizing-methodologies-research-and-indigenous-peoples.pdf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4" w:name="fn2"/>
    <w:bookmarkEnd w:id="144"/>
    <w:p>
      <w:pPr>
        <w:numPr>
          <w:ilvl w:val="0"/>
          <w:numId w:val="40"/>
        </w:numPr>
        <w:spacing w:line="360" w:after="210" w:lineRule="auto"/>
      </w:pPr>
      <w:hyperlink r:id="rId7">
        <w:r>
          <w:rPr>
            <w:rFonts w:eastAsia="inter" w:cs="inter" w:ascii="inter" w:hAnsi="inter"/>
            <w:color w:val="#000"/>
            <w:sz w:val="18"/>
            <w:u w:val="single"/>
          </w:rPr>
          <w:t xml:space="preserve">https://researchcommons.waikato.ac.nz/server/api/core/bitstreams/c3eb833e-73ff-4239-a595-f64b4a00a36b/content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5" w:name="fn3"/>
    <w:bookmarkEnd w:id="145"/>
    <w:p>
      <w:pPr>
        <w:numPr>
          <w:ilvl w:val="0"/>
          <w:numId w:val="40"/>
        </w:numPr>
        <w:spacing w:line="360" w:after="210" w:lineRule="auto"/>
      </w:pPr>
      <w:hyperlink r:id="rId8">
        <w:r>
          <w:rPr>
            <w:rFonts w:eastAsia="inter" w:cs="inter" w:ascii="inter" w:hAnsi="inter"/>
            <w:color w:val="#000"/>
            <w:sz w:val="18"/>
            <w:u w:val="single"/>
          </w:rPr>
          <w:t xml:space="preserve">https://whatworks.org.nz/kaupapa-maori/</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6" w:name="fn4"/>
    <w:bookmarkEnd w:id="146"/>
    <w:p>
      <w:pPr>
        <w:numPr>
          <w:ilvl w:val="0"/>
          <w:numId w:val="40"/>
        </w:numPr>
        <w:spacing w:line="360" w:after="210" w:lineRule="auto"/>
      </w:pPr>
      <w:hyperlink r:id="rId9">
        <w:r>
          <w:rPr>
            <w:rFonts w:eastAsia="inter" w:cs="inter" w:ascii="inter" w:hAnsi="inter"/>
            <w:color w:val="#000"/>
            <w:sz w:val="18"/>
            <w:u w:val="single"/>
          </w:rPr>
          <w:t xml:space="preserve">https://oag.parliament.nz/2022/maori-perspectives/methodology.htm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7" w:name="fn5"/>
    <w:bookmarkEnd w:id="147"/>
    <w:p>
      <w:pPr>
        <w:numPr>
          <w:ilvl w:val="0"/>
          <w:numId w:val="40"/>
        </w:numPr>
        <w:spacing w:line="360" w:after="210" w:lineRule="auto"/>
      </w:pPr>
      <w:hyperlink r:id="rId10">
        <w:r>
          <w:rPr>
            <w:rFonts w:eastAsia="inter" w:cs="inter" w:ascii="inter" w:hAnsi="inter"/>
            <w:color w:val="#000"/>
            <w:sz w:val="18"/>
            <w:u w:val="single"/>
          </w:rPr>
          <w:t xml:space="preserve">https://pmc.ncbi.nlm.nih.gov/articles/PMC10098925/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8" w:name="fn6"/>
    <w:bookmarkEnd w:id="148"/>
    <w:p>
      <w:pPr>
        <w:numPr>
          <w:ilvl w:val="0"/>
          <w:numId w:val="40"/>
        </w:numPr>
        <w:spacing w:line="360" w:after="210" w:lineRule="auto"/>
      </w:pPr>
      <w:hyperlink r:id="rId11">
        <w:r>
          <w:rPr>
            <w:rFonts w:eastAsia="inter" w:cs="inter" w:ascii="inter" w:hAnsi="inter"/>
            <w:color w:val="#000"/>
            <w:sz w:val="18"/>
            <w:u w:val="single"/>
          </w:rPr>
          <w:t xml:space="preserve">https://pmc.ncbi.nlm.nih.gov/articles/PMC3608319/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9" w:name="fn7"/>
    <w:bookmarkEnd w:id="149"/>
    <w:p>
      <w:pPr>
        <w:numPr>
          <w:ilvl w:val="0"/>
          <w:numId w:val="40"/>
        </w:numPr>
        <w:spacing w:line="360" w:after="210" w:lineRule="auto"/>
      </w:pPr>
      <w:hyperlink r:id="rId12">
        <w:r>
          <w:rPr>
            <w:rFonts w:eastAsia="inter" w:cs="inter" w:ascii="inter" w:hAnsi="inter"/>
            <w:color w:val="#000"/>
            <w:sz w:val="18"/>
            <w:u w:val="single"/>
          </w:rPr>
          <w:t xml:space="preserve">https://pmc.ncbi.nlm.nih.gov/articles/PMC6367813/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0" w:name="fn8"/>
    <w:bookmarkEnd w:id="150"/>
    <w:p>
      <w:pPr>
        <w:numPr>
          <w:ilvl w:val="0"/>
          <w:numId w:val="40"/>
        </w:numPr>
        <w:spacing w:line="360" w:after="210" w:lineRule="auto"/>
      </w:pPr>
      <w:hyperlink r:id="rId13">
        <w:r>
          <w:rPr>
            <w:rFonts w:eastAsia="inter" w:cs="inter" w:ascii="inter" w:hAnsi="inter"/>
            <w:color w:val="#000"/>
            <w:sz w:val="18"/>
            <w:u w:val="single"/>
          </w:rPr>
          <w:t xml:space="preserve">https://pmc.ncbi.nlm.nih.gov/articles/PMC10970236/</w:t>
        </w:r>
      </w:hyperlink>
      <w:r>
        <w:rPr>
          <w:rFonts w:eastAsia="inter" w:cs="inter" w:ascii="inter" w:hAnsi="inter"/>
          <w:color w:val="000000"/>
          <w:sz w:val="18"/>
        </w:rPr>
        <w:t xml:space="preserve"> </w:t>
      </w:r>
    </w:p>
    <w:bookmarkStart w:id="151" w:name="fn9"/>
    <w:bookmarkEnd w:id="151"/>
    <w:p>
      <w:pPr>
        <w:numPr>
          <w:ilvl w:val="0"/>
          <w:numId w:val="40"/>
        </w:numPr>
        <w:spacing w:line="360" w:after="210" w:lineRule="auto"/>
      </w:pPr>
      <w:hyperlink r:id="rId14">
        <w:r>
          <w:rPr>
            <w:rFonts w:eastAsia="inter" w:cs="inter" w:ascii="inter" w:hAnsi="inter"/>
            <w:color w:val="#000"/>
            <w:sz w:val="18"/>
            <w:u w:val="single"/>
          </w:rPr>
          <w:t xml:space="preserve">https://pmc.ncbi.nlm.nih.gov/articles/PMC11619077/</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2" w:name="fn10"/>
    <w:bookmarkEnd w:id="152"/>
    <w:p>
      <w:pPr>
        <w:numPr>
          <w:ilvl w:val="0"/>
          <w:numId w:val="40"/>
        </w:numPr>
        <w:spacing w:line="360" w:after="210" w:lineRule="auto"/>
      </w:pPr>
      <w:hyperlink r:id="rId15">
        <w:r>
          <w:rPr>
            <w:rFonts w:eastAsia="inter" w:cs="inter" w:ascii="inter" w:hAnsi="inter"/>
            <w:color w:val="#000"/>
            <w:sz w:val="18"/>
            <w:u w:val="single"/>
          </w:rPr>
          <w:t xml:space="preserve">https://pmc.ncbi.nlm.nih.gov/articles/PMC5629767/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3" w:name="fn11"/>
    <w:bookmarkEnd w:id="153"/>
    <w:p>
      <w:pPr>
        <w:numPr>
          <w:ilvl w:val="0"/>
          <w:numId w:val="40"/>
        </w:numPr>
        <w:spacing w:line="360" w:after="210" w:lineRule="auto"/>
      </w:pPr>
      <w:hyperlink r:id="rId16">
        <w:r>
          <w:rPr>
            <w:rFonts w:eastAsia="inter" w:cs="inter" w:ascii="inter" w:hAnsi="inter"/>
            <w:color w:val="#000"/>
            <w:sz w:val="18"/>
            <w:u w:val="single"/>
          </w:rPr>
          <w:t xml:space="preserve">https://goodminds.com/products/research-is-ceremony-indigenous-research-methods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4" w:name="fn12"/>
    <w:bookmarkEnd w:id="154"/>
    <w:p>
      <w:pPr>
        <w:numPr>
          <w:ilvl w:val="0"/>
          <w:numId w:val="40"/>
        </w:numPr>
        <w:spacing w:line="360" w:after="210" w:lineRule="auto"/>
      </w:pPr>
      <w:hyperlink r:id="rId17">
        <w:r>
          <w:rPr>
            <w:rFonts w:eastAsia="inter" w:cs="inter" w:ascii="inter" w:hAnsi="inter"/>
            <w:color w:val="#000"/>
            <w:sz w:val="18"/>
            <w:u w:val="single"/>
          </w:rPr>
          <w:t xml:space="preserve">https://fernwoodpublishing.ca/book/research-is-ceremony-shawn-wilson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5" w:name="fn13"/>
    <w:bookmarkEnd w:id="155"/>
    <w:p>
      <w:pPr>
        <w:numPr>
          <w:ilvl w:val="0"/>
          <w:numId w:val="40"/>
        </w:numPr>
        <w:spacing w:line="360" w:after="210" w:lineRule="auto"/>
      </w:pPr>
      <w:hyperlink r:id="rId18">
        <w:r>
          <w:rPr>
            <w:rFonts w:eastAsia="inter" w:cs="inter" w:ascii="inter" w:hAnsi="inter"/>
            <w:color w:val="#000"/>
            <w:sz w:val="18"/>
            <w:u w:val="single"/>
          </w:rPr>
          <w:t xml:space="preserve">https://www.welcomehomevetsofnj.org/textbook-ga-24-1-33/shawn-wilson-research-is-ceremony.pdf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6" w:name="fn14"/>
    <w:bookmarkEnd w:id="156"/>
    <w:p>
      <w:pPr>
        <w:numPr>
          <w:ilvl w:val="0"/>
          <w:numId w:val="40"/>
        </w:numPr>
        <w:spacing w:line="360" w:after="210" w:lineRule="auto"/>
      </w:pPr>
      <w:hyperlink r:id="rId19">
        <w:r>
          <w:rPr>
            <w:rFonts w:eastAsia="inter" w:cs="inter" w:ascii="inter" w:hAnsi="inter"/>
            <w:color w:val="#000"/>
            <w:sz w:val="18"/>
            <w:u w:val="single"/>
          </w:rPr>
          <w:t xml:space="preserve">https://esurf.copernicus.org/articles/8/595/2020/esurf-8-595-2020.pdf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7" w:name="fn15"/>
    <w:bookmarkEnd w:id="157"/>
    <w:p>
      <w:pPr>
        <w:numPr>
          <w:ilvl w:val="0"/>
          <w:numId w:val="40"/>
        </w:numPr>
        <w:spacing w:line="360" w:after="210" w:lineRule="auto"/>
      </w:pPr>
      <w:hyperlink r:id="rId20">
        <w:r>
          <w:rPr>
            <w:rFonts w:eastAsia="inter" w:cs="inter" w:ascii="inter" w:hAnsi="inter"/>
            <w:color w:val="#000"/>
            <w:sz w:val="18"/>
            <w:u w:val="single"/>
          </w:rPr>
          <w:t xml:space="preserve">https://astrobites.org/2024/11/29/template-post-35/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8" w:name="fn16"/>
    <w:bookmarkEnd w:id="158"/>
    <w:p>
      <w:pPr>
        <w:numPr>
          <w:ilvl w:val="0"/>
          <w:numId w:val="40"/>
        </w:numPr>
        <w:spacing w:line="360" w:after="210" w:lineRule="auto"/>
      </w:pPr>
      <w:hyperlink r:id="rId21">
        <w:r>
          <w:rPr>
            <w:rFonts w:eastAsia="inter" w:cs="inter" w:ascii="inter" w:hAnsi="inter"/>
            <w:color w:val="#000"/>
            <w:sz w:val="18"/>
            <w:u w:val="single"/>
          </w:rPr>
          <w:t xml:space="preserve">https://pdfs.semanticscholar.org/8c11/2e7b0937542cd51e35d48d872afeff3b4d15.pdf</w:t>
        </w:r>
      </w:hyperlink>
      <w:r>
        <w:rPr>
          <w:rFonts w:eastAsia="inter" w:cs="inter" w:ascii="inter" w:hAnsi="inter"/>
          <w:color w:val="000000"/>
          <w:sz w:val="18"/>
        </w:rPr>
        <w:t xml:space="preserve"> </w:t>
      </w:r>
    </w:p>
    <w:bookmarkStart w:id="159" w:name="fn17"/>
    <w:bookmarkEnd w:id="159"/>
    <w:p>
      <w:pPr>
        <w:numPr>
          <w:ilvl w:val="0"/>
          <w:numId w:val="40"/>
        </w:numPr>
        <w:spacing w:line="360" w:after="210" w:lineRule="auto"/>
      </w:pPr>
      <w:hyperlink r:id="rId22">
        <w:r>
          <w:rPr>
            <w:rFonts w:eastAsia="inter" w:cs="inter" w:ascii="inter" w:hAnsi="inter"/>
            <w:color w:val="#000"/>
            <w:sz w:val="18"/>
            <w:u w:val="single"/>
          </w:rPr>
          <w:t xml:space="preserve">https://www.tandfonline.com/doi/pdf/10.1080/1177083X.2023.2227232?needAccess=true&amp;role=button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0" w:name="fn18"/>
    <w:bookmarkEnd w:id="160"/>
    <w:p>
      <w:pPr>
        <w:numPr>
          <w:ilvl w:val="0"/>
          <w:numId w:val="40"/>
        </w:numPr>
        <w:spacing w:line="360" w:after="210" w:lineRule="auto"/>
      </w:pPr>
      <w:hyperlink r:id="rId23">
        <w:r>
          <w:rPr>
            <w:rFonts w:eastAsia="inter" w:cs="inter" w:ascii="inter" w:hAnsi="inter"/>
            <w:color w:val="#000"/>
            <w:sz w:val="18"/>
            <w:u w:val="single"/>
          </w:rPr>
          <w:t xml:space="preserve">https://www.tandfonline.com/doi/full/10.1080/03036758.2024.2381753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1" w:name="fn19"/>
    <w:bookmarkEnd w:id="161"/>
    <w:p>
      <w:pPr>
        <w:numPr>
          <w:ilvl w:val="0"/>
          <w:numId w:val="40"/>
        </w:numPr>
        <w:spacing w:line="360" w:after="210" w:lineRule="auto"/>
      </w:pPr>
      <w:hyperlink r:id="rId24">
        <w:r>
          <w:rPr>
            <w:rFonts w:eastAsia="inter" w:cs="inter" w:ascii="inter" w:hAnsi="inter"/>
            <w:color w:val="#000"/>
            <w:sz w:val="18"/>
            <w:u w:val="single"/>
          </w:rPr>
          <w:t xml:space="preserve">https://www.topuniversities.com/universities/university-waikato/postgrad/master-arts-maori-indigenous-studies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2" w:name="fn20"/>
    <w:bookmarkEnd w:id="162"/>
    <w:p>
      <w:pPr>
        <w:numPr>
          <w:ilvl w:val="0"/>
          <w:numId w:val="40"/>
        </w:numPr>
        <w:spacing w:line="360" w:after="210" w:lineRule="auto"/>
      </w:pPr>
      <w:hyperlink r:id="rId25">
        <w:r>
          <w:rPr>
            <w:rFonts w:eastAsia="inter" w:cs="inter" w:ascii="inter" w:hAnsi="inter"/>
            <w:color w:val="#000"/>
            <w:sz w:val="18"/>
            <w:u w:val="single"/>
          </w:rPr>
          <w:t xml:space="preserve">https://www.waikato.ac.nz/study/options/subject-areas/maori-and-indigenous-studies/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3" w:name="fn21"/>
    <w:bookmarkEnd w:id="163"/>
    <w:p>
      <w:pPr>
        <w:numPr>
          <w:ilvl w:val="0"/>
          <w:numId w:val="40"/>
        </w:numPr>
        <w:spacing w:line="360" w:after="210" w:lineRule="auto"/>
      </w:pPr>
      <w:hyperlink r:id="rId26">
        <w:r>
          <w:rPr>
            <w:rFonts w:eastAsia="inter" w:cs="inter" w:ascii="inter" w:hAnsi="inter"/>
            <w:color w:val="#000"/>
            <w:sz w:val="18"/>
            <w:u w:val="single"/>
          </w:rPr>
          <w:t xml:space="preserve">https://www.topuniversities.com/universities/university-waikato/postgrad/master-arts-theatre-studies</w:t>
        </w:r>
      </w:hyperlink>
      <w:r>
        <w:rPr>
          <w:rFonts w:eastAsia="inter" w:cs="inter" w:ascii="inter" w:hAnsi="inter"/>
          <w:color w:val="000000"/>
          <w:sz w:val="18"/>
        </w:rPr>
        <w:t xml:space="preserve"> </w:t>
      </w:r>
    </w:p>
    <w:bookmarkStart w:id="164" w:name="fn22"/>
    <w:bookmarkEnd w:id="164"/>
    <w:p>
      <w:pPr>
        <w:numPr>
          <w:ilvl w:val="0"/>
          <w:numId w:val="40"/>
        </w:numPr>
        <w:spacing w:line="360" w:after="210" w:lineRule="auto"/>
      </w:pPr>
      <w:hyperlink r:id="rId27">
        <w:r>
          <w:rPr>
            <w:rFonts w:eastAsia="inter" w:cs="inter" w:ascii="inter" w:hAnsi="inter"/>
            <w:color w:val="#000"/>
            <w:sz w:val="18"/>
            <w:u w:val="single"/>
          </w:rPr>
          <w:t xml:space="preserve">https://www.studywithnewzealand.govt.nz/en/study-options/course/21577-course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5" w:name="fn23"/>
    <w:bookmarkEnd w:id="165"/>
    <w:p>
      <w:pPr>
        <w:numPr>
          <w:ilvl w:val="0"/>
          <w:numId w:val="40"/>
        </w:numPr>
        <w:spacing w:line="360" w:after="210" w:lineRule="auto"/>
      </w:pPr>
      <w:hyperlink r:id="rId28">
        <w:r>
          <w:rPr>
            <w:rFonts w:eastAsia="inter" w:cs="inter" w:ascii="inter" w:hAnsi="inter"/>
            <w:color w:val="#000"/>
            <w:sz w:val="18"/>
            <w:u w:val="single"/>
          </w:rPr>
          <w:t xml:space="preserve">https://www.educations.com/institutions/universityofwaikato/master-of-media-and-creative-technologies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6" w:name="fn24"/>
    <w:bookmarkEnd w:id="166"/>
    <w:p>
      <w:pPr>
        <w:numPr>
          <w:ilvl w:val="0"/>
          <w:numId w:val="40"/>
        </w:numPr>
        <w:spacing w:line="360" w:after="210" w:lineRule="auto"/>
      </w:pPr>
      <w:hyperlink r:id="rId29">
        <w:r>
          <w:rPr>
            <w:rFonts w:eastAsia="inter" w:cs="inter" w:ascii="inter" w:hAnsi="inter"/>
            <w:color w:val="#000"/>
            <w:sz w:val="18"/>
            <w:u w:val="single"/>
          </w:rPr>
          <w:t xml:space="preserve">https://www.waikato.ac.nz/int/study/qualifications/master-of-media-and-creative-technologies/</w:t>
        </w:r>
      </w:hyperlink>
      <w:r>
        <w:rPr>
          <w:rFonts w:eastAsia="inter" w:cs="inter" w:ascii="inter" w:hAnsi="inter"/>
          <w:color w:val="000000"/>
          <w:sz w:val="18"/>
        </w:rPr>
        <w:t xml:space="preserve"> </w:t>
      </w:r>
    </w:p>
    <w:bookmarkStart w:id="167" w:name="fn25"/>
    <w:bookmarkEnd w:id="167"/>
    <w:p>
      <w:pPr>
        <w:numPr>
          <w:ilvl w:val="0"/>
          <w:numId w:val="40"/>
        </w:numPr>
        <w:spacing w:line="360" w:after="210" w:lineRule="auto"/>
      </w:pPr>
      <w:hyperlink r:id="rId30">
        <w:r>
          <w:rPr>
            <w:rFonts w:eastAsia="inter" w:cs="inter" w:ascii="inter" w:hAnsi="inter"/>
            <w:color w:val="#000"/>
            <w:sz w:val="18"/>
            <w:u w:val="single"/>
          </w:rPr>
          <w:t xml:space="preserve">https://www.nzqa.govt.nz/nzqf/search/viewQualification.do?selectedItemKey=WI0910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8" w:name="fn26"/>
    <w:bookmarkEnd w:id="168"/>
    <w:p>
      <w:pPr>
        <w:numPr>
          <w:ilvl w:val="0"/>
          <w:numId w:val="40"/>
        </w:numPr>
        <w:spacing w:line="360" w:after="210" w:lineRule="auto"/>
      </w:pPr>
      <w:hyperlink r:id="rId31">
        <w:r>
          <w:rPr>
            <w:rFonts w:eastAsia="inter" w:cs="inter" w:ascii="inter" w:hAnsi="inter"/>
            <w:color w:val="#000"/>
            <w:sz w:val="18"/>
            <w:u w:val="single"/>
          </w:rPr>
          <w:t xml:space="preserve">https://www.studywithnewzealand.govt.nz/en/study-options/course/21559-course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9" w:name="fn27"/>
    <w:bookmarkEnd w:id="169"/>
    <w:p>
      <w:pPr>
        <w:numPr>
          <w:ilvl w:val="0"/>
          <w:numId w:val="40"/>
        </w:numPr>
        <w:spacing w:line="360" w:after="210" w:lineRule="auto"/>
      </w:pPr>
      <w:hyperlink r:id="rId32">
        <w:r>
          <w:rPr>
            <w:rFonts w:eastAsia="inter" w:cs="inter" w:ascii="inter" w:hAnsi="inter"/>
            <w:color w:val="#000"/>
            <w:sz w:val="18"/>
            <w:u w:val="single"/>
          </w:rPr>
          <w:t xml:space="preserve">https://www.mastersportal.com/studies/321197/design.html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0" w:name="fn28"/>
    <w:bookmarkEnd w:id="170"/>
    <w:p>
      <w:pPr>
        <w:numPr>
          <w:ilvl w:val="0"/>
          <w:numId w:val="40"/>
        </w:numPr>
        <w:spacing w:line="360" w:after="210" w:lineRule="auto"/>
      </w:pPr>
      <w:hyperlink r:id="rId33">
        <w:r>
          <w:rPr>
            <w:rFonts w:eastAsia="inter" w:cs="inter" w:ascii="inter" w:hAnsi="inter"/>
            <w:color w:val="#000"/>
            <w:sz w:val="18"/>
            <w:u w:val="single"/>
          </w:rPr>
          <w:t xml:space="preserve">https://www.canamgroup.com/program/new-zealand/the-university-of-waikato-hamilton-campus/master-of-design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1" w:name="fn29"/>
    <w:bookmarkEnd w:id="171"/>
    <w:p>
      <w:pPr>
        <w:numPr>
          <w:ilvl w:val="0"/>
          <w:numId w:val="40"/>
        </w:numPr>
        <w:spacing w:line="360" w:after="210" w:lineRule="auto"/>
      </w:pPr>
      <w:hyperlink r:id="rId34">
        <w:r>
          <w:rPr>
            <w:rFonts w:eastAsia="inter" w:cs="inter" w:ascii="inter" w:hAnsi="inter"/>
            <w:color w:val="#000"/>
            <w:sz w:val="18"/>
            <w:u w:val="single"/>
          </w:rPr>
          <w:t xml:space="preserve">https://studynewzealand.nz/institutions/university-of-waikato/courses/master-of-engineering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2" w:name="fn30"/>
    <w:bookmarkEnd w:id="172"/>
    <w:p>
      <w:pPr>
        <w:numPr>
          <w:ilvl w:val="0"/>
          <w:numId w:val="40"/>
        </w:numPr>
        <w:spacing w:line="360" w:after="210" w:lineRule="auto"/>
      </w:pPr>
      <w:hyperlink r:id="rId35">
        <w:r>
          <w:rPr>
            <w:rFonts w:eastAsia="inter" w:cs="inter" w:ascii="inter" w:hAnsi="inter"/>
            <w:color w:val="#000"/>
            <w:sz w:val="18"/>
            <w:u w:val="single"/>
          </w:rPr>
          <w:t xml:space="preserve">https://www.studywithnewzealand.govt.nz/en/study-options/course/21003-course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3" w:name="fn31"/>
    <w:bookmarkEnd w:id="173"/>
    <w:p>
      <w:pPr>
        <w:numPr>
          <w:ilvl w:val="0"/>
          <w:numId w:val="40"/>
        </w:numPr>
        <w:spacing w:line="360" w:after="210" w:lineRule="auto"/>
      </w:pPr>
      <w:hyperlink r:id="rId36">
        <w:r>
          <w:rPr>
            <w:rFonts w:eastAsia="inter" w:cs="inter" w:ascii="inter" w:hAnsi="inter"/>
            <w:color w:val="#000"/>
            <w:sz w:val="18"/>
            <w:u w:val="single"/>
          </w:rPr>
          <w:t xml:space="preserve">https://www.educations.com/institutions/universityofwaikato/master-of-engineering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4" w:name="fn32"/>
    <w:bookmarkEnd w:id="174"/>
    <w:p>
      <w:pPr>
        <w:numPr>
          <w:ilvl w:val="0"/>
          <w:numId w:val="40"/>
        </w:numPr>
        <w:spacing w:line="360" w:after="210" w:lineRule="auto"/>
      </w:pPr>
      <w:hyperlink r:id="rId37">
        <w:r>
          <w:rPr>
            <w:rFonts w:eastAsia="inter" w:cs="inter" w:ascii="inter" w:hAnsi="inter"/>
            <w:color w:val="#000"/>
            <w:sz w:val="18"/>
            <w:u w:val="single"/>
          </w:rPr>
          <w:t xml:space="preserve">https://www.educations.com/institutions/universityofwaikato/master-of-science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5" w:name="fn33"/>
    <w:bookmarkEnd w:id="175"/>
    <w:p>
      <w:pPr>
        <w:numPr>
          <w:ilvl w:val="0"/>
          <w:numId w:val="40"/>
        </w:numPr>
        <w:spacing w:line="360" w:after="210" w:lineRule="auto"/>
      </w:pPr>
      <w:hyperlink r:id="rId38">
        <w:r>
          <w:rPr>
            <w:rFonts w:eastAsia="inter" w:cs="inter" w:ascii="inter" w:hAnsi="inter"/>
            <w:color w:val="#000"/>
            <w:sz w:val="18"/>
            <w:u w:val="single"/>
          </w:rPr>
          <w:t xml:space="preserve">https://www.waikato.ac.nz/study/qualifications/master-of-science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6" w:name="fn34"/>
    <w:bookmarkEnd w:id="176"/>
    <w:p>
      <w:pPr>
        <w:numPr>
          <w:ilvl w:val="0"/>
          <w:numId w:val="40"/>
        </w:numPr>
        <w:spacing w:line="360" w:after="210" w:lineRule="auto"/>
      </w:pPr>
      <w:hyperlink r:id="rId39">
        <w:r>
          <w:rPr>
            <w:rFonts w:eastAsia="inter" w:cs="inter" w:ascii="inter" w:hAnsi="inter"/>
            <w:color w:val="#000"/>
            <w:sz w:val="18"/>
            <w:u w:val="single"/>
          </w:rPr>
          <w:t xml:space="preserve">https://studynewzealand.nz/institutions/university-of-waikato/courses/master-of-science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7" w:name="fn35"/>
    <w:bookmarkEnd w:id="177"/>
    <w:p>
      <w:pPr>
        <w:numPr>
          <w:ilvl w:val="0"/>
          <w:numId w:val="40"/>
        </w:numPr>
        <w:spacing w:line="360" w:after="210" w:lineRule="auto"/>
      </w:pPr>
      <w:hyperlink r:id="rId40">
        <w:r>
          <w:rPr>
            <w:rFonts w:eastAsia="inter" w:cs="inter" w:ascii="inter" w:hAnsi="inter"/>
            <w:color w:val="#000"/>
            <w:sz w:val="18"/>
            <w:u w:val="single"/>
          </w:rPr>
          <w:t xml:space="preserve">https://www.mastersportal.com/studies/321226/mori-and-indigenous-studies.html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8" w:name="fn36"/>
    <w:bookmarkEnd w:id="178"/>
    <w:p>
      <w:pPr>
        <w:numPr>
          <w:ilvl w:val="0"/>
          <w:numId w:val="40"/>
        </w:numPr>
        <w:spacing w:line="360" w:after="210" w:lineRule="auto"/>
      </w:pPr>
      <w:hyperlink r:id="rId41">
        <w:r>
          <w:rPr>
            <w:rFonts w:eastAsia="inter" w:cs="inter" w:ascii="inter" w:hAnsi="inter"/>
            <w:color w:val="#000"/>
            <w:sz w:val="18"/>
            <w:u w:val="single"/>
          </w:rPr>
          <w:t xml:space="preserve">https://www.studywithnewzealand.govt.nz/en/study-options/course/e1ef572e-7fb6-4789-9629-c3cf08388725</w:t>
        </w:r>
      </w:hyperlink>
      <w:r>
        <w:rPr>
          <w:rFonts w:eastAsia="inter" w:cs="inter" w:ascii="inter" w:hAnsi="inter"/>
          <w:color w:val="000000"/>
          <w:sz w:val="18"/>
        </w:rPr>
        <w:t xml:space="preserve"> </w:t>
      </w:r>
    </w:p>
    <w:bookmarkStart w:id="179" w:name="fn37"/>
    <w:bookmarkEnd w:id="179"/>
    <w:p>
      <w:pPr>
        <w:numPr>
          <w:ilvl w:val="0"/>
          <w:numId w:val="40"/>
        </w:numPr>
        <w:spacing w:line="360" w:after="210" w:lineRule="auto"/>
      </w:pPr>
      <w:hyperlink r:id="rId42">
        <w:r>
          <w:rPr>
            <w:rFonts w:eastAsia="inter" w:cs="inter" w:ascii="inter" w:hAnsi="inter"/>
            <w:color w:val="#000"/>
            <w:sz w:val="18"/>
            <w:u w:val="single"/>
          </w:rPr>
          <w:t xml:space="preserve">https://www.waikato.ac.nz/int/study/options/subject-areas/maori-and-indigenous-studies/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0" w:name="fn38"/>
    <w:bookmarkEnd w:id="180"/>
    <w:p>
      <w:pPr>
        <w:numPr>
          <w:ilvl w:val="0"/>
          <w:numId w:val="40"/>
        </w:numPr>
        <w:spacing w:line="360" w:after="210" w:lineRule="auto"/>
      </w:pPr>
      <w:hyperlink r:id="rId43">
        <w:r>
          <w:rPr>
            <w:rFonts w:eastAsia="inter" w:cs="inter" w:ascii="inter" w:hAnsi="inter"/>
            <w:color w:val="#000"/>
            <w:sz w:val="18"/>
            <w:u w:val="single"/>
          </w:rPr>
          <w:t xml:space="preserve">https://www.mastersportal.com/studies/455039/media-and-creative-technologies.html</w:t>
        </w:r>
      </w:hyperlink>
      <w:r>
        <w:rPr>
          <w:rFonts w:eastAsia="inter" w:cs="inter" w:ascii="inter" w:hAnsi="inter"/>
          <w:color w:val="000000"/>
          <w:sz w:val="18"/>
        </w:rPr>
        <w:t xml:space="preserve"> </w:t>
      </w:r>
    </w:p>
    <w:bookmarkStart w:id="181" w:name="fn39"/>
    <w:bookmarkEnd w:id="181"/>
    <w:p>
      <w:pPr>
        <w:numPr>
          <w:ilvl w:val="0"/>
          <w:numId w:val="40"/>
        </w:numPr>
        <w:spacing w:line="360" w:after="210" w:lineRule="auto"/>
      </w:pPr>
      <w:hyperlink r:id="rId44">
        <w:r>
          <w:rPr>
            <w:rFonts w:eastAsia="inter" w:cs="inter" w:ascii="inter" w:hAnsi="inter"/>
            <w:color w:val="#000"/>
            <w:sz w:val="18"/>
            <w:u w:val="single"/>
          </w:rPr>
          <w:t xml:space="preserve">https://studynewzealand.nz/institutions/university-of-waikato/courses/master-of-media-and-creative-technologies</w:t>
        </w:r>
      </w:hyperlink>
      <w:r>
        <w:rPr>
          <w:rFonts w:eastAsia="inter" w:cs="inter" w:ascii="inter" w:hAnsi="inter"/>
          <w:color w:val="000000"/>
          <w:sz w:val="18"/>
        </w:rPr>
        <w:t xml:space="preserve"> </w:t>
      </w:r>
    </w:p>
    <w:bookmarkStart w:id="182" w:name="fn40"/>
    <w:bookmarkEnd w:id="182"/>
    <w:p>
      <w:pPr>
        <w:numPr>
          <w:ilvl w:val="0"/>
          <w:numId w:val="40"/>
        </w:numPr>
        <w:spacing w:line="360" w:after="210" w:lineRule="auto"/>
      </w:pPr>
      <w:hyperlink r:id="rId45">
        <w:r>
          <w:rPr>
            <w:rFonts w:eastAsia="inter" w:cs="inter" w:ascii="inter" w:hAnsi="inter"/>
            <w:color w:val="#000"/>
            <w:sz w:val="18"/>
            <w:u w:val="single"/>
          </w:rPr>
          <w:t xml:space="preserve">https://www.tandfonline.com/doi/pdf/10.1080/14606925.2017.1353030?needAccess=true</w:t>
        </w:r>
      </w:hyperlink>
      <w:r>
        <w:rPr>
          <w:rFonts w:eastAsia="inter" w:cs="inter" w:ascii="inter" w:hAnsi="inter"/>
          <w:color w:val="000000"/>
          <w:sz w:val="18"/>
        </w:rPr>
        <w:t xml:space="preserve"> </w:t>
      </w:r>
    </w:p>
    <w:bookmarkStart w:id="183" w:name="fn41"/>
    <w:bookmarkEnd w:id="183"/>
    <w:p>
      <w:pPr>
        <w:numPr>
          <w:ilvl w:val="0"/>
          <w:numId w:val="40"/>
        </w:numPr>
        <w:spacing w:line="360" w:after="210" w:lineRule="auto"/>
      </w:pPr>
      <w:hyperlink r:id="rId46">
        <w:r>
          <w:rPr>
            <w:rFonts w:eastAsia="inter" w:cs="inter" w:ascii="inter" w:hAnsi="inter"/>
            <w:color w:val="#000"/>
            <w:sz w:val="18"/>
            <w:u w:val="single"/>
          </w:rPr>
          <w:t xml:space="preserve">https://openresearchlibrary.org/ext/api/media/31715ff3-f436-4e27-b763-21752715338d/assets/external_content.pdf</w:t>
        </w:r>
      </w:hyperlink>
      <w:r>
        <w:rPr>
          <w:rFonts w:eastAsia="inter" w:cs="inter" w:ascii="inter" w:hAnsi="inter"/>
          <w:color w:val="000000"/>
          <w:sz w:val="18"/>
        </w:rPr>
        <w:t xml:space="preserve"> </w:t>
      </w:r>
    </w:p>
    <w:bookmarkStart w:id="184" w:name="fn42"/>
    <w:bookmarkEnd w:id="184"/>
    <w:p>
      <w:pPr>
        <w:numPr>
          <w:ilvl w:val="0"/>
          <w:numId w:val="40"/>
        </w:numPr>
        <w:spacing w:line="360" w:after="210" w:lineRule="auto"/>
      </w:pPr>
      <w:hyperlink r:id="rId47">
        <w:r>
          <w:rPr>
            <w:rFonts w:eastAsia="inter" w:cs="inter" w:ascii="inter" w:hAnsi="inter"/>
            <w:color w:val="#000"/>
            <w:sz w:val="18"/>
            <w:u w:val="single"/>
          </w:rPr>
          <w:t xml:space="preserve">https://www.waikato.ac.nz/int/study/options/subject-areas/engineering/</w:t>
        </w:r>
      </w:hyperlink>
      <w:r>
        <w:rPr>
          <w:rFonts w:eastAsia="inter" w:cs="inter" w:ascii="inter" w:hAnsi="inter"/>
          <w:color w:val="000000"/>
          <w:sz w:val="18"/>
        </w:rPr>
        <w:t xml:space="preserve"> </w:t>
      </w:r>
    </w:p>
    <w:bookmarkStart w:id="185" w:name="fn43"/>
    <w:bookmarkEnd w:id="185"/>
    <w:p>
      <w:pPr>
        <w:numPr>
          <w:ilvl w:val="0"/>
          <w:numId w:val="40"/>
        </w:numPr>
        <w:spacing w:line="360" w:after="210" w:lineRule="auto"/>
      </w:pPr>
      <w:hyperlink r:id="rId48">
        <w:r>
          <w:rPr>
            <w:rFonts w:eastAsia="inter" w:cs="inter" w:ascii="inter" w:hAnsi="inter"/>
            <w:color w:val="#000"/>
            <w:sz w:val="18"/>
            <w:u w:val="single"/>
          </w:rPr>
          <w:t xml:space="preserve">https://www.waikato.ac.nz/int/study/subjects/music/</w:t>
        </w:r>
      </w:hyperlink>
      <w:r>
        <w:rPr>
          <w:rFonts w:eastAsia="inter" w:cs="inter" w:ascii="inter" w:hAnsi="inter"/>
          <w:color w:val="000000"/>
          <w:sz w:val="18"/>
        </w:rPr>
        <w:t xml:space="preserve"> </w:t>
      </w:r>
    </w:p>
    <w:bookmarkStart w:id="186" w:name="fn44"/>
    <w:bookmarkEnd w:id="186"/>
    <w:p>
      <w:pPr>
        <w:numPr>
          <w:ilvl w:val="0"/>
          <w:numId w:val="40"/>
        </w:numPr>
        <w:spacing w:line="360" w:after="210" w:lineRule="auto"/>
      </w:pPr>
      <w:hyperlink r:id="rId49">
        <w:r>
          <w:rPr>
            <w:rFonts w:eastAsia="inter" w:cs="inter" w:ascii="inter" w:hAnsi="inter"/>
            <w:color w:val="#000"/>
            <w:sz w:val="18"/>
            <w:u w:val="single"/>
          </w:rPr>
          <w:t xml:space="preserve">https://www.waikato.ac.nz/int/study/subjects/theatre-studies/</w:t>
        </w:r>
      </w:hyperlink>
      <w:r>
        <w:rPr>
          <w:rFonts w:eastAsia="inter" w:cs="inter" w:ascii="inter" w:hAnsi="inter"/>
          <w:color w:val="000000"/>
          <w:sz w:val="18"/>
        </w:rPr>
        <w:t xml:space="preserve"> </w:t>
      </w:r>
    </w:p>
    <w:bookmarkStart w:id="187" w:name="fn45"/>
    <w:bookmarkEnd w:id="187"/>
    <w:p>
      <w:pPr>
        <w:numPr>
          <w:ilvl w:val="0"/>
          <w:numId w:val="40"/>
        </w:numPr>
        <w:spacing w:line="360" w:after="210" w:lineRule="auto"/>
      </w:pPr>
      <w:hyperlink r:id="rId50">
        <w:r>
          <w:rPr>
            <w:rFonts w:eastAsia="inter" w:cs="inter" w:ascii="inter" w:hAnsi="inter"/>
            <w:color w:val="#000"/>
            <w:sz w:val="18"/>
            <w:u w:val="single"/>
          </w:rPr>
          <w:t xml:space="preserve">https://www.waikato.ac.nz/study/subjects/theatre-studies</w:t>
        </w:r>
      </w:hyperlink>
      <w:r>
        <w:rPr>
          <w:rFonts w:eastAsia="inter" w:cs="inter" w:ascii="inter" w:hAnsi="inter"/>
          <w:color w:val="000000"/>
          <w:sz w:val="18"/>
        </w:rPr>
        <w:t xml:space="preserve"> </w:t>
      </w:r>
    </w:p>
    <w:bookmarkStart w:id="188" w:name="fn46"/>
    <w:bookmarkEnd w:id="188"/>
    <w:p>
      <w:pPr>
        <w:numPr>
          <w:ilvl w:val="0"/>
          <w:numId w:val="40"/>
        </w:numPr>
        <w:spacing w:line="360" w:after="210" w:lineRule="auto"/>
      </w:pPr>
      <w:hyperlink r:id="rId51">
        <w:r>
          <w:rPr>
            <w:rFonts w:eastAsia="inter" w:cs="inter" w:ascii="inter" w:hAnsi="inter"/>
            <w:color w:val="#000"/>
            <w:sz w:val="18"/>
            <w:u w:val="single"/>
          </w:rPr>
          <w:t xml:space="preserve">https://www.globalreachonline.com/course-details.php?institute_course_id=MTA5NjE0</w:t>
        </w:r>
      </w:hyperlink>
      <w:r>
        <w:rPr>
          <w:rFonts w:eastAsia="inter" w:cs="inter" w:ascii="inter" w:hAnsi="inter"/>
          <w:color w:val="000000"/>
          <w:sz w:val="18"/>
        </w:rPr>
        <w:t xml:space="preserve"> </w:t>
      </w:r>
    </w:p>
    <w:bookmarkStart w:id="189" w:name="fn47"/>
    <w:bookmarkEnd w:id="189"/>
    <w:p>
      <w:pPr>
        <w:numPr>
          <w:ilvl w:val="0"/>
          <w:numId w:val="40"/>
        </w:numPr>
        <w:spacing w:line="360" w:after="210" w:lineRule="auto"/>
      </w:pPr>
      <w:hyperlink r:id="rId52">
        <w:r>
          <w:rPr>
            <w:rFonts w:eastAsia="inter" w:cs="inter" w:ascii="inter" w:hAnsi="inter"/>
            <w:color w:val="#000"/>
            <w:sz w:val="18"/>
            <w:u w:val="single"/>
          </w:rPr>
          <w:t xml:space="preserve">https://www.mdpi.com/2313-5778/3/1/11/pdf?version=1553512180</w:t>
        </w:r>
      </w:hyperlink>
      <w:r>
        <w:rPr>
          <w:rFonts w:eastAsia="inter" w:cs="inter" w:ascii="inter" w:hAnsi="inter"/>
          <w:color w:val="000000"/>
          <w:sz w:val="18"/>
        </w:rPr>
        <w:t xml:space="preserve"> </w:t>
      </w:r>
    </w:p>
    <w:bookmarkStart w:id="190" w:name="fn48"/>
    <w:bookmarkEnd w:id="190"/>
    <w:p>
      <w:pPr>
        <w:numPr>
          <w:ilvl w:val="0"/>
          <w:numId w:val="40"/>
        </w:numPr>
        <w:spacing w:line="360" w:after="210" w:lineRule="auto"/>
      </w:pPr>
      <w:hyperlink r:id="rId53">
        <w:r>
          <w:rPr>
            <w:rFonts w:eastAsia="inter" w:cs="inter" w:ascii="inter" w:hAnsi="inter"/>
            <w:color w:val="#000"/>
            <w:sz w:val="18"/>
            <w:u w:val="single"/>
          </w:rPr>
          <w:t xml:space="preserve">https://www.mdpi.com/2313-5778/5/4/99/pdf</w:t>
        </w:r>
      </w:hyperlink>
      <w:r>
        <w:rPr>
          <w:rFonts w:eastAsia="inter" w:cs="inter" w:ascii="inter" w:hAnsi="inter"/>
          <w:color w:val="000000"/>
          <w:sz w:val="18"/>
        </w:rPr>
        <w:t xml:space="preserve"> </w:t>
      </w:r>
    </w:p>
    <w:bookmarkStart w:id="191" w:name="fn49"/>
    <w:bookmarkEnd w:id="191"/>
    <w:p>
      <w:pPr>
        <w:numPr>
          <w:ilvl w:val="0"/>
          <w:numId w:val="40"/>
        </w:numPr>
        <w:spacing w:line="360" w:after="210" w:lineRule="auto"/>
      </w:pPr>
      <w:hyperlink r:id="rId54">
        <w:r>
          <w:rPr>
            <w:rFonts w:eastAsia="inter" w:cs="inter" w:ascii="inter" w:hAnsi="inter"/>
            <w:color w:val="#000"/>
            <w:sz w:val="18"/>
            <w:u w:val="single"/>
          </w:rPr>
          <w:t xml:space="preserve">https://journals.sagepub.com/doi/pdf/10.1177/11771801241291195</w:t>
        </w:r>
      </w:hyperlink>
      <w:r>
        <w:rPr>
          <w:rFonts w:eastAsia="inter" w:cs="inter" w:ascii="inter" w:hAnsi="inter"/>
          <w:color w:val="000000"/>
          <w:sz w:val="18"/>
        </w:rPr>
        <w:t xml:space="preserve"> </w:t>
      </w:r>
    </w:p>
    <w:bookmarkStart w:id="192" w:name="fn50"/>
    <w:bookmarkEnd w:id="192"/>
    <w:p>
      <w:pPr>
        <w:numPr>
          <w:ilvl w:val="0"/>
          <w:numId w:val="40"/>
        </w:numPr>
        <w:spacing w:line="360" w:after="210" w:lineRule="auto"/>
      </w:pPr>
      <w:hyperlink r:id="rId55">
        <w:r>
          <w:rPr>
            <w:rFonts w:eastAsia="inter" w:cs="inter" w:ascii="inter" w:hAnsi="inter"/>
            <w:color w:val="#000"/>
            <w:sz w:val="18"/>
            <w:u w:val="single"/>
          </w:rPr>
          <w:t xml:space="preserve">https://www.atlas-tjes.org/index.php/tjes/article/download/97/92</w:t>
        </w:r>
      </w:hyperlink>
      <w:r>
        <w:rPr>
          <w:rFonts w:eastAsia="inter" w:cs="inter" w:ascii="inter" w:hAnsi="inter"/>
          <w:color w:val="000000"/>
          <w:sz w:val="18"/>
        </w:rPr>
        <w:t xml:space="preserve"> </w:t>
      </w:r>
    </w:p>
    <w:bookmarkStart w:id="193" w:name="fn51"/>
    <w:bookmarkEnd w:id="193"/>
    <w:p>
      <w:pPr>
        <w:numPr>
          <w:ilvl w:val="0"/>
          <w:numId w:val="40"/>
        </w:numPr>
        <w:spacing w:line="360" w:after="210" w:lineRule="auto"/>
      </w:pPr>
      <w:hyperlink r:id="rId56">
        <w:r>
          <w:rPr>
            <w:rFonts w:eastAsia="inter" w:cs="inter" w:ascii="inter" w:hAnsi="inter"/>
            <w:color w:val="#000"/>
            <w:sz w:val="18"/>
            <w:u w:val="single"/>
          </w:rPr>
          <w:t xml:space="preserve">https://www.globalreachonline.com/course-details.php?institute_course_id=MTA5Njg0</w:t>
        </w:r>
      </w:hyperlink>
      <w:r>
        <w:rPr>
          <w:rFonts w:eastAsia="inter" w:cs="inter" w:ascii="inter" w:hAnsi="inter"/>
          <w:color w:val="000000"/>
          <w:sz w:val="18"/>
        </w:rPr>
        <w:t xml:space="preserve"> </w:t>
      </w:r>
    </w:p>
    <w:bookmarkStart w:id="194" w:name="fn52"/>
    <w:bookmarkEnd w:id="194"/>
    <w:p>
      <w:pPr>
        <w:numPr>
          <w:ilvl w:val="0"/>
          <w:numId w:val="40"/>
        </w:numPr>
        <w:spacing w:line="360" w:after="210" w:lineRule="auto"/>
      </w:pPr>
      <w:hyperlink r:id="rId57">
        <w:r>
          <w:rPr>
            <w:rFonts w:eastAsia="inter" w:cs="inter" w:ascii="inter" w:hAnsi="inter"/>
            <w:color w:val="#000"/>
            <w:sz w:val="18"/>
            <w:u w:val="single"/>
          </w:rPr>
          <w:t xml:space="preserve">https://www.topuniversities.com/universities/university-waikato/postgrad/master-engineering-mechanical-engineering</w:t>
        </w:r>
      </w:hyperlink>
      <w:r>
        <w:rPr>
          <w:rFonts w:eastAsia="inter" w:cs="inter" w:ascii="inter" w:hAnsi="inter"/>
          <w:color w:val="000000"/>
          <w:sz w:val="18"/>
        </w:rPr>
        <w:t xml:space="preserve"> </w:t>
      </w:r>
    </w:p>
    <w:bookmarkStart w:id="195" w:name="fn53"/>
    <w:bookmarkEnd w:id="195"/>
    <w:p>
      <w:pPr>
        <w:numPr>
          <w:ilvl w:val="0"/>
          <w:numId w:val="40"/>
        </w:numPr>
        <w:spacing w:line="360" w:after="210" w:lineRule="auto"/>
      </w:pPr>
      <w:hyperlink r:id="rId58">
        <w:r>
          <w:rPr>
            <w:rFonts w:eastAsia="inter" w:cs="inter" w:ascii="inter" w:hAnsi="inter"/>
            <w:color w:val="#000"/>
            <w:sz w:val="18"/>
            <w:u w:val="single"/>
          </w:rPr>
          <w:t xml:space="preserve">https://www.waikato.ac.nz/int/study/subjects/screen-and-media-studies/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2"/>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3"/>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4"/>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2"/>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3"/>
      <w:numFmt w:val="decimal"/>
      <w:lvlText w:val="%1."/>
      <w:lvlJc w:val="left"/>
      <w:pPr>
        <w:tabs>
          <w:tab w:val="num" w:pos="900"/>
        </w:tabs>
        <w:ind w:left="540" w:hanging="360"/>
      </w:p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4"/>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5"/>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decimal"/>
      <w:lvlText w:val="%1."/>
      <w:lvlJc w:val="left"/>
      <w:pPr>
        <w:tabs>
          <w:tab w:val="num" w:pos="900"/>
        </w:tabs>
        <w:ind w:left="540" w:hanging="360"/>
      </w:p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
    <w:multiLevelType w:val="hybridMultilevel"/>
    <w:lvl w:ilvl="0">
      <w:start w:val="2"/>
      <w:numFmt w:val="decimal"/>
      <w:lvlText w:val="%1."/>
      <w:lvlJc w:val="left"/>
      <w:pPr>
        <w:tabs>
          <w:tab w:val="num" w:pos="900"/>
        </w:tabs>
        <w:ind w:left="540" w:hanging="360"/>
      </w:p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3"/>
      <w:numFmt w:val="decimal"/>
      <w:lvlText w:val="%1."/>
      <w:lvlJc w:val="left"/>
      <w:pPr>
        <w:tabs>
          <w:tab w:val="num" w:pos="900"/>
        </w:tabs>
        <w:ind w:left="540" w:hanging="360"/>
      </w:p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abstractNum>
  <w:abstractNum w:abstractNumId="4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f9ee956b7a33779c1a1717730c85538852b08aa.png" TargetMode="Internal"/><Relationship Id="rId6" Type="http://schemas.openxmlformats.org/officeDocument/2006/relationships/hyperlink" Target="https://nycstandswithstandingrock.files.wordpress.com/2016/10/linda-tuhiwai-smith-decolonizing-methodologies-research-and-indigenous-peoples.pdf" TargetMode="External"/><Relationship Id="rId7" Type="http://schemas.openxmlformats.org/officeDocument/2006/relationships/hyperlink" Target="https://researchcommons.waikato.ac.nz/server/api/core/bitstreams/c3eb833e-73ff-4239-a595-f64b4a00a36b/content" TargetMode="External"/><Relationship Id="rId8" Type="http://schemas.openxmlformats.org/officeDocument/2006/relationships/hyperlink" Target="https://whatworks.org.nz/kaupapa-maori/" TargetMode="External"/><Relationship Id="rId9" Type="http://schemas.openxmlformats.org/officeDocument/2006/relationships/hyperlink" Target="https://oag.parliament.nz/2022/maori-perspectives/methodology.htm" TargetMode="External"/><Relationship Id="rId10" Type="http://schemas.openxmlformats.org/officeDocument/2006/relationships/hyperlink" Target="https://pmc.ncbi.nlm.nih.gov/articles/PMC10098925/" TargetMode="External"/><Relationship Id="rId11" Type="http://schemas.openxmlformats.org/officeDocument/2006/relationships/hyperlink" Target="https://pmc.ncbi.nlm.nih.gov/articles/PMC3608319/" TargetMode="External"/><Relationship Id="rId12" Type="http://schemas.openxmlformats.org/officeDocument/2006/relationships/hyperlink" Target="https://pmc.ncbi.nlm.nih.gov/articles/PMC6367813/" TargetMode="External"/><Relationship Id="rId13" Type="http://schemas.openxmlformats.org/officeDocument/2006/relationships/hyperlink" Target="https://pmc.ncbi.nlm.nih.gov/articles/PMC10970236/" TargetMode="External"/><Relationship Id="rId14" Type="http://schemas.openxmlformats.org/officeDocument/2006/relationships/hyperlink" Target="https://pmc.ncbi.nlm.nih.gov/articles/PMC11619077/" TargetMode="External"/><Relationship Id="rId15" Type="http://schemas.openxmlformats.org/officeDocument/2006/relationships/hyperlink" Target="https://pmc.ncbi.nlm.nih.gov/articles/PMC5629767/" TargetMode="External"/><Relationship Id="rId16" Type="http://schemas.openxmlformats.org/officeDocument/2006/relationships/hyperlink" Target="https://goodminds.com/products/research-is-ceremony-indigenous-research-methods" TargetMode="External"/><Relationship Id="rId17" Type="http://schemas.openxmlformats.org/officeDocument/2006/relationships/hyperlink" Target="https://fernwoodpublishing.ca/book/research-is-ceremony-shawn-wilson" TargetMode="External"/><Relationship Id="rId18" Type="http://schemas.openxmlformats.org/officeDocument/2006/relationships/hyperlink" Target="https://www.welcomehomevetsofnj.org/textbook-ga-24-1-33/shawn-wilson-research-is-ceremony.pdf" TargetMode="External"/><Relationship Id="rId19" Type="http://schemas.openxmlformats.org/officeDocument/2006/relationships/hyperlink" Target="https://esurf.copernicus.org/articles/8/595/2020/esurf-8-595-2020.pdf" TargetMode="External"/><Relationship Id="rId20" Type="http://schemas.openxmlformats.org/officeDocument/2006/relationships/hyperlink" Target="https://astrobites.org/2024/11/29/template-post-35/" TargetMode="External"/><Relationship Id="rId21" Type="http://schemas.openxmlformats.org/officeDocument/2006/relationships/hyperlink" Target="https://pdfs.semanticscholar.org/8c11/2e7b0937542cd51e35d48d872afeff3b4d15.pdf" TargetMode="External"/><Relationship Id="rId22" Type="http://schemas.openxmlformats.org/officeDocument/2006/relationships/hyperlink" Target="https://www.tandfonline.com/doi/pdf/10.1080/1177083X.2023.2227232?needAccess=true&amp;role=button" TargetMode="External"/><Relationship Id="rId23" Type="http://schemas.openxmlformats.org/officeDocument/2006/relationships/hyperlink" Target="https://www.tandfonline.com/doi/full/10.1080/03036758.2024.2381753" TargetMode="External"/><Relationship Id="rId24" Type="http://schemas.openxmlformats.org/officeDocument/2006/relationships/hyperlink" Target="https://www.topuniversities.com/universities/university-waikato/postgrad/master-arts-maori-indigenous-studies" TargetMode="External"/><Relationship Id="rId25" Type="http://schemas.openxmlformats.org/officeDocument/2006/relationships/hyperlink" Target="https://www.waikato.ac.nz/study/options/subject-areas/maori-and-indigenous-studies/" TargetMode="External"/><Relationship Id="rId26" Type="http://schemas.openxmlformats.org/officeDocument/2006/relationships/hyperlink" Target="https://www.topuniversities.com/universities/university-waikato/postgrad/master-arts-theatre-studies" TargetMode="External"/><Relationship Id="rId27" Type="http://schemas.openxmlformats.org/officeDocument/2006/relationships/hyperlink" Target="https://www.studywithnewzealand.govt.nz/en/study-options/course/21577-course" TargetMode="External"/><Relationship Id="rId28" Type="http://schemas.openxmlformats.org/officeDocument/2006/relationships/hyperlink" Target="https://www.educations.com/institutions/universityofwaikato/master-of-media-and-creative-technologies" TargetMode="External"/><Relationship Id="rId29" Type="http://schemas.openxmlformats.org/officeDocument/2006/relationships/hyperlink" Target="https://www.waikato.ac.nz/int/study/qualifications/master-of-media-and-creative-technologies/" TargetMode="External"/><Relationship Id="rId30" Type="http://schemas.openxmlformats.org/officeDocument/2006/relationships/hyperlink" Target="https://www.nzqa.govt.nz/nzqf/search/viewQualification.do?selectedItemKey=WI0910" TargetMode="External"/><Relationship Id="rId31" Type="http://schemas.openxmlformats.org/officeDocument/2006/relationships/hyperlink" Target="https://www.studywithnewzealand.govt.nz/en/study-options/course/21559-course" TargetMode="External"/><Relationship Id="rId32" Type="http://schemas.openxmlformats.org/officeDocument/2006/relationships/hyperlink" Target="https://www.mastersportal.com/studies/321197/design.html" TargetMode="External"/><Relationship Id="rId33" Type="http://schemas.openxmlformats.org/officeDocument/2006/relationships/hyperlink" Target="https://www.canamgroup.com/program/new-zealand/the-university-of-waikato-hamilton-campus/master-of-design" TargetMode="External"/><Relationship Id="rId34" Type="http://schemas.openxmlformats.org/officeDocument/2006/relationships/hyperlink" Target="https://studynewzealand.nz/institutions/university-of-waikato/courses/master-of-engineering" TargetMode="External"/><Relationship Id="rId35" Type="http://schemas.openxmlformats.org/officeDocument/2006/relationships/hyperlink" Target="https://www.studywithnewzealand.govt.nz/en/study-options/course/21003-course" TargetMode="External"/><Relationship Id="rId36" Type="http://schemas.openxmlformats.org/officeDocument/2006/relationships/hyperlink" Target="https://www.educations.com/institutions/universityofwaikato/master-of-engineering" TargetMode="External"/><Relationship Id="rId37" Type="http://schemas.openxmlformats.org/officeDocument/2006/relationships/hyperlink" Target="https://www.educations.com/institutions/universityofwaikato/master-of-science" TargetMode="External"/><Relationship Id="rId38" Type="http://schemas.openxmlformats.org/officeDocument/2006/relationships/hyperlink" Target="https://www.waikato.ac.nz/study/qualifications/master-of-science" TargetMode="External"/><Relationship Id="rId39" Type="http://schemas.openxmlformats.org/officeDocument/2006/relationships/hyperlink" Target="https://studynewzealand.nz/institutions/university-of-waikato/courses/master-of-science" TargetMode="External"/><Relationship Id="rId40" Type="http://schemas.openxmlformats.org/officeDocument/2006/relationships/hyperlink" Target="https://www.mastersportal.com/studies/321226/mori-and-indigenous-studies.html" TargetMode="External"/><Relationship Id="rId41" Type="http://schemas.openxmlformats.org/officeDocument/2006/relationships/hyperlink" Target="https://www.studywithnewzealand.govt.nz/en/study-options/course/e1ef572e-7fb6-4789-9629-c3cf08388725" TargetMode="External"/><Relationship Id="rId42" Type="http://schemas.openxmlformats.org/officeDocument/2006/relationships/hyperlink" Target="https://www.waikato.ac.nz/int/study/options/subject-areas/maori-and-indigenous-studies/" TargetMode="External"/><Relationship Id="rId43" Type="http://schemas.openxmlformats.org/officeDocument/2006/relationships/hyperlink" Target="https://www.mastersportal.com/studies/455039/media-and-creative-technologies.html" TargetMode="External"/><Relationship Id="rId44" Type="http://schemas.openxmlformats.org/officeDocument/2006/relationships/hyperlink" Target="https://studynewzealand.nz/institutions/university-of-waikato/courses/master-of-media-and-creative-technologies" TargetMode="External"/><Relationship Id="rId45" Type="http://schemas.openxmlformats.org/officeDocument/2006/relationships/hyperlink" Target="https://www.tandfonline.com/doi/pdf/10.1080/14606925.2017.1353030?needAccess=true" TargetMode="External"/><Relationship Id="rId46" Type="http://schemas.openxmlformats.org/officeDocument/2006/relationships/hyperlink" Target="https://openresearchlibrary.org/ext/api/media/31715ff3-f436-4e27-b763-21752715338d/assets/external_content.pdf" TargetMode="External"/><Relationship Id="rId47" Type="http://schemas.openxmlformats.org/officeDocument/2006/relationships/hyperlink" Target="https://www.waikato.ac.nz/int/study/options/subject-areas/engineering/" TargetMode="External"/><Relationship Id="rId48" Type="http://schemas.openxmlformats.org/officeDocument/2006/relationships/hyperlink" Target="https://www.waikato.ac.nz/int/study/subjects/music/" TargetMode="External"/><Relationship Id="rId49" Type="http://schemas.openxmlformats.org/officeDocument/2006/relationships/hyperlink" Target="https://www.waikato.ac.nz/int/study/subjects/theatre-studies/" TargetMode="External"/><Relationship Id="rId50" Type="http://schemas.openxmlformats.org/officeDocument/2006/relationships/hyperlink" Target="https://www.waikato.ac.nz/study/subjects/theatre-studies" TargetMode="External"/><Relationship Id="rId51" Type="http://schemas.openxmlformats.org/officeDocument/2006/relationships/hyperlink" Target="https://www.globalreachonline.com/course-details.php?institute_course_id=MTA5NjE0" TargetMode="External"/><Relationship Id="rId52" Type="http://schemas.openxmlformats.org/officeDocument/2006/relationships/hyperlink" Target="https://www.mdpi.com/2313-5778/3/1/11/pdf?version=1553512180" TargetMode="External"/><Relationship Id="rId53" Type="http://schemas.openxmlformats.org/officeDocument/2006/relationships/hyperlink" Target="https://www.mdpi.com/2313-5778/5/4/99/pdf" TargetMode="External"/><Relationship Id="rId54" Type="http://schemas.openxmlformats.org/officeDocument/2006/relationships/hyperlink" Target="https://journals.sagepub.com/doi/pdf/10.1177/11771801241291195" TargetMode="External"/><Relationship Id="rId55" Type="http://schemas.openxmlformats.org/officeDocument/2006/relationships/hyperlink" Target="https://www.atlas-tjes.org/index.php/tjes/article/download/97/92" TargetMode="External"/><Relationship Id="rId56" Type="http://schemas.openxmlformats.org/officeDocument/2006/relationships/hyperlink" Target="https://www.globalreachonline.com/course-details.php?institute_course_id=MTA5Njg0" TargetMode="External"/><Relationship Id="rId57" Type="http://schemas.openxmlformats.org/officeDocument/2006/relationships/hyperlink" Target="https://www.topuniversities.com/universities/university-waikato/postgrad/master-engineering-mechanical-engineering" TargetMode="External"/><Relationship Id="rId58" Type="http://schemas.openxmlformats.org/officeDocument/2006/relationships/hyperlink" Target="https://www.waikato.ac.nz/int/study/subjects/screen-and-media-studi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2026-02-15T03:13:17.744Z</dcterms:created>
  <dcterms:modified xsi:type="dcterms:W3CDTF">2026-02-15T03:13:17.744Z</dcterms:modified>
</cp:coreProperties>
</file>