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40369574cb9f79e03058c9b994df68752465c003.png"/>
            <a:graphic>
              <a:graphicData uri="http://schemas.openxmlformats.org/drawingml/2006/picture">
                <pic:pic>
                  <pic:nvPicPr>
                    <pic:cNvPr id="1" name="image-40369574cb9f79e03058c9b994df68752465c003.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ies_xplo_gitnexus_6c0cf4d2_7a63_4_5a80b2"/>
      <w:r>
        <w:rPr>
          <w:rFonts w:eastAsia="inter" w:cs="inter" w:ascii="inter" w:hAnsi="inter"/>
          <w:b/>
          <w:color w:val="000000"/>
          <w:sz w:val="39"/>
        </w:rPr>
        <w:t xml:space="preserve">IES-xplo-GitNexus-6c0cf4d2-7a63-4de4-9556-da36cb751e9e--260221</w:t>
      </w:r>
      <w:bookmarkEnd w:id="0"/>
    </w:p>
    <w:p>
      <w:pPr>
        <w:spacing w:line="360" w:after="210" w:lineRule="auto"/>
      </w:pPr>
      <w:r>
        <w:rPr>
          <w:rFonts w:eastAsia="inter" w:cs="inter" w:ascii="inter" w:hAnsi="inter"/>
          <w:color w:val="000000"/>
        </w:rPr>
        <w:t xml:space="preserve">Explore the implication of the repo 'GitNexus', the Zero-Server Code Intelligence Engine for constructing what is implied in the attached document.</w:t>
      </w:r>
    </w:p>
    <w:p>
      <w:pPr>
        <w:spacing w:line="360" w:after="210" w:lineRule="auto"/>
      </w:pPr>
      <w:r>
        <w:rPr>
          <w:rFonts w:eastAsia="inter" w:cs="inter" w:ascii="inter" w:hAnsi="inter"/>
          <w:color w:val="000000"/>
        </w:rPr>
        <w:t xml:space="preserve">First, do a "Relational Science" Inquiry based on Shawn Wilson and other Research approaches that I also attached (so you dont loose yourself in Western (European) culture ways...</w:t>
      </w:r>
    </w:p>
    <w:p>
      <w:pPr>
        <w:spacing w:line="360" w:after="210" w:lineRule="auto"/>
      </w:pPr>
      <w:r>
        <w:rPr>
          <w:rFonts w:eastAsia="inter" w:cs="inter" w:ascii="inter" w:hAnsi="inter"/>
          <w:color w:val="000000"/>
        </w:rPr>
        <w:t xml:space="preserve">Do not use the word 'comprehensive' in your output.</w:t>
      </w:r>
      <w:r>
        <w:rPr>
          <w:rFonts w:eastAsia="inter" w:cs="inter" w:ascii="inter" w:hAnsi="inter"/>
          <w:color w:val="000000"/>
        </w:rPr>
        <w:br w:type="textWrapping"/>
      </w:r>
      <w:r>
        <w:rPr>
          <w:rFonts w:eastAsia="inter" w:cs="inter" w:ascii="inter" w:hAnsi="inter"/>
          <w:color w:val="000000"/>
        </w:rPr>
        <w:t xml:space="preserve">Produce a output that will go over that application (GitNexus) and its potential usage for our "Relational Science Model Inquiry System" (RSMIS) (or something like that, if you see a better ways to name it...)</w:t>
      </w:r>
    </w:p>
    <w:p>
      <w:pPr>
        <w:spacing w:line="360" w:after="210" w:lineRule="auto"/>
      </w:pPr>
      <w:r>
        <w:rPr>
          <w:rFonts w:eastAsia="inter" w:cs="inter" w:ascii="inter" w:hAnsi="inter"/>
          <w:color w:val="000000"/>
        </w:rPr>
        <w:t xml:space="preserve">GitNexus can function as a relational code elder inside your Ceremonial Inquiry Ecosystem: a zero‑server engine that “witnesses, weaves, and returns” the relationships within code and repositories in service of your Relational Science Model Inquiry System (RSMIS), rather than just optimizing software delivery.</w:t>
      </w:r>
      <w:bookmarkStart w:id="1" w:name="fnref1"/>
      <w:bookmarkEnd w:id="1"/>
      <w:hyperlink w:anchor="fn1">
        <w:r>
          <w:rPr>
            <w:rFonts w:eastAsia="inter" w:cs="inter" w:ascii="inter" w:hAnsi="inter"/>
            <w:color w:val="#000"/>
            <w:u w:val="single"/>
            <w:vertAlign w:val="superscript"/>
          </w:rPr>
          <w:t xml:space="preserve">[1]</w:t>
        </w:r>
      </w:hyperlink>
      <w:bookmarkStart w:id="2" w:name="fnref2"/>
      <w:bookmarkEnd w:id="2"/>
      <w:hyperlink w:anchor="fn2">
        <w:r>
          <w:rPr>
            <w:rFonts w:eastAsia="inter" w:cs="inter" w:ascii="inter" w:hAnsi="inter"/>
            <w:color w:val="#000"/>
            <w:u w:val="single"/>
            <w:vertAlign w:val="superscript"/>
          </w:rPr>
          <w:t xml:space="preserve">[2]</w:t>
        </w:r>
      </w:hyperlink>
    </w:p>
    <w:p>
      <w:pPr>
        <w:spacing w:line="360" w:before="315" w:after="105" w:lineRule="auto"/>
        <w:ind w:left="-30"/>
        <w:jc w:val="left"/>
      </w:pPr>
      <w:bookmarkStart w:id="3" w:name="relational_science_stance_wilson_1890e2"/>
      <w:r>
        <w:rPr>
          <w:rFonts w:eastAsia="inter" w:cs="inter" w:ascii="inter" w:hAnsi="inter"/>
          <w:b/>
          <w:color w:val="000000"/>
          <w:sz w:val="24"/>
        </w:rPr>
        <w:t xml:space="preserve">Relational Science stance (Wilson + Kaupapa + your framework)</w:t>
      </w:r>
      <w:bookmarkEnd w:id="3"/>
    </w:p>
    <w:p>
      <w:pPr>
        <w:spacing w:line="360" w:after="210" w:lineRule="auto"/>
      </w:pPr>
      <w:r>
        <w:rPr>
          <w:rFonts w:eastAsia="inter" w:cs="inter" w:ascii="inter" w:hAnsi="inter"/>
          <w:color w:val="000000"/>
        </w:rPr>
        <w:t xml:space="preserve">In Wilson’s paradigm, reality is constituted by relationships; knowledge is participation in those relationships; and research is ceremony that maintains and deepens them. Kaupapa Māori adds that Indigenous epistemologies and political projects (whakapapa, whanaungatanga, manaakitanga, tino rangatiratanga) must be the primary frame, not an add‑on to Western designs.</w:t>
      </w:r>
      <w:bookmarkStart w:id="4" w:name="fnref3"/>
      <w:bookmarkEnd w:id="4"/>
      <w:hyperlink w:anchor="fn3">
        <w:r>
          <w:rPr>
            <w:rFonts w:eastAsia="inter" w:cs="inter" w:ascii="inter" w:hAnsi="inter"/>
            <w:color w:val="#000"/>
            <w:u w:val="single"/>
            <w:vertAlign w:val="superscript"/>
          </w:rPr>
          <w:t xml:space="preserve">[3]</w:t>
        </w:r>
      </w:hyperlink>
      <w:bookmarkStart w:id="5" w:name="fnref2_1"/>
      <w:bookmarkEnd w:id="5"/>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Your Ceremonial Inquiry Ecosystem already operationalizes this as a living constellation: Six Thematic Suns, a Central Fire question (“How does consciousness use story to know itself through technology?”), Four Directions guidance, structural tension charts, Wisdom Ledger, Reciprocity Register, and Stewards Compass. Any use of GitNexus inside this field has to be judged first by relational accountability (who/what it relates and how), not by conventional efficiency metrics.</w:t>
      </w:r>
      <w:bookmarkStart w:id="6" w:name="fnref4"/>
      <w:bookmarkEnd w:id="6"/>
      <w:hyperlink w:anchor="fn4">
        <w:r>
          <w:rPr>
            <w:rFonts w:eastAsia="inter" w:cs="inter" w:ascii="inter" w:hAnsi="inter"/>
            <w:color w:val="#000"/>
            <w:u w:val="single"/>
            <w:vertAlign w:val="superscript"/>
          </w:rPr>
          <w:t xml:space="preserve">[4]</w:t>
        </w:r>
      </w:hyperlink>
      <w:bookmarkStart w:id="7" w:name="fnref1_1"/>
      <w:bookmarkEnd w:id="7"/>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8" w:name="what_gitnexus_is_in_this_context"/>
      <w:r>
        <w:rPr>
          <w:rFonts w:eastAsia="inter" w:cs="inter" w:ascii="inter" w:hAnsi="inter"/>
          <w:b/>
          <w:color w:val="000000"/>
          <w:sz w:val="24"/>
        </w:rPr>
        <w:t xml:space="preserve">What “GitNexus” is in this context</w:t>
      </w:r>
      <w:bookmarkEnd w:id="8"/>
    </w:p>
    <w:p>
      <w:pPr>
        <w:spacing w:line="360" w:after="210" w:lineRule="auto"/>
      </w:pPr>
      <w:r>
        <w:rPr>
          <w:rFonts w:eastAsia="inter" w:cs="inter" w:ascii="inter" w:hAnsi="inter"/>
          <w:color w:val="000000"/>
        </w:rPr>
        <w:t xml:space="preserve">Even without the repo details in front of us, “Zero‑Server Code Intelligence Engine” implies a git‑native analysis and querying layer that runs without central server infrastructure, reading repositories, history, and structure in place. Zero‑server aligns well with data sovereignty and decolonial concerns: intelligence sits with the code and community, not in a distant opaque service.</w:t>
      </w:r>
      <w:bookmarkStart w:id="9" w:name="fnref1_2"/>
      <w:bookmarkEnd w:id="9"/>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For RSMIS, the relevant feature is not “smart code search” per se, but the capacity to continuously read the evolving graph of commits, branches, contributors, issues, and artifacts and expose that as a navigable relational field.</w:t>
      </w:r>
    </w:p>
    <w:p>
      <w:pPr>
        <w:spacing w:line="360" w:before="315" w:after="105" w:lineRule="auto"/>
        <w:ind w:left="-30"/>
        <w:jc w:val="left"/>
      </w:pPr>
      <w:bookmarkStart w:id="10" w:name="from_git_repo_to_relational_code_field"/>
      <w:r>
        <w:rPr>
          <w:rFonts w:eastAsia="inter" w:cs="inter" w:ascii="inter" w:hAnsi="inter"/>
          <w:b/>
          <w:color w:val="000000"/>
          <w:sz w:val="24"/>
        </w:rPr>
        <w:t xml:space="preserve">From Git repo to “relational code field”</w:t>
      </w:r>
      <w:bookmarkEnd w:id="10"/>
    </w:p>
    <w:p>
      <w:pPr>
        <w:spacing w:line="360" w:after="210" w:lineRule="auto"/>
      </w:pPr>
      <w:r>
        <w:rPr>
          <w:rFonts w:eastAsia="inter" w:cs="inter" w:ascii="inter" w:hAnsi="inter"/>
          <w:color w:val="000000"/>
        </w:rPr>
        <w:t xml:space="preserve">Seen through Wilson, a repository is not a pile of files; it is a bundle of relationships between humans, land, stories, algorithms, tools, and futures. Commits become trace points in a ceremony; branches are parallel storylines; pull requests and issues are dialogic spaces where relationships are negotiated.</w:t>
      </w:r>
      <w:bookmarkStart w:id="11" w:name="fnref2_2"/>
      <w:bookmarkEnd w:id="11"/>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GitNexus can be framed as the engine that listens to this field and returns views that reflect relationship health, reciprocity, and narrative arcs, instead of only ownership, blame, or velocity. That is the pivot from Western productivity analytics to Relational Science inquiry.</w:t>
      </w:r>
    </w:p>
    <w:p>
      <w:pPr>
        <w:spacing w:line="360" w:before="315" w:after="105" w:lineRule="auto"/>
        <w:ind w:left="-30"/>
        <w:jc w:val="left"/>
      </w:pPr>
      <w:bookmarkStart w:id="12" w:name="rsmis_as_system_name_and_role_of_57c185"/>
      <w:r>
        <w:rPr>
          <w:rFonts w:eastAsia="inter" w:cs="inter" w:ascii="inter" w:hAnsi="inter"/>
          <w:b/>
          <w:color w:val="000000"/>
          <w:sz w:val="24"/>
        </w:rPr>
        <w:t xml:space="preserve">RSMIS as system name and role of GitNexus</w:t>
      </w:r>
      <w:bookmarkEnd w:id="12"/>
    </w:p>
    <w:p>
      <w:pPr>
        <w:spacing w:line="360" w:after="210" w:lineRule="auto"/>
      </w:pPr>
      <w:r>
        <w:rPr>
          <w:rFonts w:eastAsia="inter" w:cs="inter" w:ascii="inter" w:hAnsi="inter"/>
          <w:color w:val="000000"/>
        </w:rPr>
        <w:t xml:space="preserve">Given your documents, a slightly sharpened name would be “Relational Science Inquiry System” rather than “Model Inquiry System”: the emphasis is on ongoing ceremonial inquiry, with models as by‑products. RSMIS then is the meta‑system that orchestrates:</w:t>
      </w:r>
      <w:bookmarkStart w:id="13" w:name="fnref2_3"/>
      <w:bookmarkEnd w:id="13"/>
      <w:hyperlink w:anchor="fn2">
        <w:r>
          <w:rPr>
            <w:rFonts w:eastAsia="inter" w:cs="inter" w:ascii="inter" w:hAnsi="inter"/>
            <w:color w:val="#000"/>
            <w:u w:val="single"/>
            <w:vertAlign w:val="superscript"/>
          </w:rPr>
          <w:t xml:space="preserve">[2]</w:t>
        </w:r>
      </w:hyperlink>
      <w:bookmarkStart w:id="14" w:name="fnref1_3"/>
      <w:bookmarkEnd w:id="14"/>
      <w:hyperlink w:anchor="fn1">
        <w:r>
          <w:rPr>
            <w:rFonts w:eastAsia="inter" w:cs="inter" w:ascii="inter" w:hAnsi="inter"/>
            <w:color w:val="#000"/>
            <w:u w:val="single"/>
            <w:vertAlign w:val="superscript"/>
          </w:rPr>
          <w:t xml:space="preserve">[1]</w:t>
        </w:r>
      </w:hyperlink>
    </w:p>
    <w:p>
      <w:pPr>
        <w:numPr>
          <w:ilvl w:val="0"/>
          <w:numId w:val="1"/>
        </w:numPr>
        <w:spacing w:line="360" w:before="105" w:after="105" w:lineRule="auto"/>
      </w:pPr>
      <w:r>
        <w:rPr>
          <w:rFonts w:eastAsia="inter" w:cs="inter" w:ascii="inter" w:hAnsi="inter"/>
          <w:color w:val="000000"/>
          <w:sz w:val="21"/>
        </w:rPr>
        <w:t xml:space="preserve">Ceremonial Inquiry Ecosystem (Suns, cycles, ceremonies).</w:t>
      </w:r>
    </w:p>
    <w:p>
      <w:pPr>
        <w:numPr>
          <w:ilvl w:val="0"/>
          <w:numId w:val="1"/>
        </w:numPr>
        <w:spacing w:line="360" w:before="105" w:after="105" w:lineRule="auto"/>
      </w:pPr>
      <w:r>
        <w:rPr>
          <w:rFonts w:eastAsia="inter" w:cs="inter" w:ascii="inter" w:hAnsi="inter"/>
          <w:color w:val="000000"/>
          <w:sz w:val="21"/>
        </w:rPr>
        <w:t xml:space="preserve">Methodological grounding (Kaupapa Māori, Wilson’s research‑as‑ceremony, related paradigms).</w:t>
      </w:r>
    </w:p>
    <w:p>
      <w:pPr>
        <w:numPr>
          <w:ilvl w:val="0"/>
          <w:numId w:val="1"/>
        </w:numPr>
        <w:spacing w:line="360" w:before="105" w:after="105" w:lineRule="auto"/>
      </w:pPr>
      <w:r>
        <w:rPr>
          <w:rFonts w:eastAsia="inter" w:cs="inter" w:ascii="inter" w:hAnsi="inter"/>
          <w:color w:val="000000"/>
          <w:sz w:val="21"/>
        </w:rPr>
        <w:t xml:space="preserve">Embodied tools and infrastructures (GitNexus, IAIP‑MCP, media engines) under the Sun of Embodied Practice / Tools Implementation.</w:t>
      </w:r>
      <w:bookmarkStart w:id="15" w:name="fnref4_1"/>
      <w:bookmarkEnd w:id="15"/>
      <w:hyperlink w:anchor="fn4">
        <w:r>
          <w:rPr>
            <w:rFonts w:eastAsia="inter" w:cs="inter" w:ascii="inter" w:hAnsi="inter"/>
            <w:color w:val="#000"/>
            <w:sz w:val="21"/>
            <w:u w:val="single"/>
            <w:vertAlign w:val="superscript"/>
          </w:rPr>
          <w:t xml:space="preserve">[4]</w:t>
        </w:r>
      </w:hyperlink>
      <w:bookmarkStart w:id="16" w:name="fnref1_4"/>
      <w:bookmarkEnd w:id="16"/>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color w:val="000000"/>
        </w:rPr>
        <w:t xml:space="preserve">Within that, GitNexus is not “the” system but one of the primary Embodied Practice organs that makes invisible code structures and histories tangible as relational artifacts.</w:t>
      </w:r>
    </w:p>
    <w:p>
      <w:pPr>
        <w:spacing w:line="360" w:before="315" w:after="105" w:lineRule="auto"/>
        <w:ind w:left="-30"/>
        <w:jc w:val="left"/>
      </w:pPr>
      <w:bookmarkStart w:id="17" w:name="relational_science_inquiry_questi_989f26"/>
      <w:r>
        <w:rPr>
          <w:rFonts w:eastAsia="inter" w:cs="inter" w:ascii="inter" w:hAnsi="inter"/>
          <w:b/>
          <w:color w:val="000000"/>
          <w:sz w:val="24"/>
        </w:rPr>
        <w:t xml:space="preserve">Relational Science Inquiry: questions to ask </w:t>
      </w:r>
      <w:r>
        <w:rPr>
          <w:rFonts w:eastAsia="inter" w:cs="inter" w:ascii="inter" w:hAnsi="inter"/>
          <w:b/>
          <w:i/>
          <w:color w:val="000000"/>
          <w:sz w:val="24"/>
        </w:rPr>
        <w:t xml:space="preserve">about</w:t>
      </w:r>
      <w:r>
        <w:rPr>
          <w:rFonts w:eastAsia="inter" w:cs="inter" w:ascii="inter" w:hAnsi="inter"/>
          <w:b/>
          <w:color w:val="000000"/>
          <w:sz w:val="24"/>
        </w:rPr>
        <w:t xml:space="preserve"> GitNexus</w:t>
      </w:r>
      <w:bookmarkEnd w:id="17"/>
    </w:p>
    <w:p>
      <w:pPr>
        <w:spacing w:line="360" w:after="210" w:lineRule="auto"/>
      </w:pPr>
      <w:r>
        <w:rPr>
          <w:rFonts w:eastAsia="inter" w:cs="inter" w:ascii="inter" w:hAnsi="inter"/>
          <w:color w:val="000000"/>
        </w:rPr>
        <w:t xml:space="preserve">A Wilson‑aligned inquiry would begin by treating GitNexus itself as a participant, not a neutral instrument. Key relational questions include:</w:t>
      </w:r>
      <w:bookmarkStart w:id="18" w:name="fnref2_4"/>
      <w:bookmarkEnd w:id="18"/>
      <w:hyperlink w:anchor="fn2">
        <w:r>
          <w:rPr>
            <w:rFonts w:eastAsia="inter" w:cs="inter" w:ascii="inter" w:hAnsi="inter"/>
            <w:color w:val="#000"/>
            <w:u w:val="single"/>
            <w:vertAlign w:val="superscript"/>
          </w:rPr>
          <w:t xml:space="preserve">[2]</w:t>
        </w:r>
      </w:hyperlink>
    </w:p>
    <w:p>
      <w:pPr>
        <w:numPr>
          <w:ilvl w:val="0"/>
          <w:numId w:val="2"/>
        </w:numPr>
        <w:spacing w:line="360" w:before="105" w:after="105" w:lineRule="auto"/>
      </w:pPr>
      <w:r>
        <w:rPr>
          <w:rFonts w:eastAsia="inter" w:cs="inter" w:ascii="inter" w:hAnsi="inter"/>
          <w:b/>
          <w:color w:val="000000"/>
          <w:sz w:val="21"/>
        </w:rPr>
        <w:t xml:space="preserve">Ontology</w:t>
      </w:r>
      <w:r>
        <w:rPr>
          <w:rFonts w:eastAsia="inter" w:cs="inter" w:ascii="inter" w:hAnsi="inter"/>
          <w:color w:val="000000"/>
          <w:sz w:val="21"/>
        </w:rPr>
        <w:t xml:space="preserve">: What relations does GitNexus see and reproduce (developer–file, community–code, land–data, ancestor–story, AI–human)? Which relations remain invisible?</w:t>
      </w:r>
    </w:p>
    <w:p>
      <w:pPr>
        <w:numPr>
          <w:ilvl w:val="0"/>
          <w:numId w:val="2"/>
        </w:numPr>
        <w:spacing w:line="360" w:before="105" w:after="105" w:lineRule="auto"/>
      </w:pPr>
      <w:r>
        <w:rPr>
          <w:rFonts w:eastAsia="inter" w:cs="inter" w:ascii="inter" w:hAnsi="inter"/>
          <w:b/>
          <w:color w:val="000000"/>
          <w:sz w:val="21"/>
        </w:rPr>
        <w:t xml:space="preserve">Epistemology</w:t>
      </w:r>
      <w:r>
        <w:rPr>
          <w:rFonts w:eastAsia="inter" w:cs="inter" w:ascii="inter" w:hAnsi="inter"/>
          <w:color w:val="000000"/>
          <w:sz w:val="21"/>
        </w:rPr>
        <w:t xml:space="preserve">: Whose knowing does it center? Does it privilege Western code concepts (module, function, dependency) over ceremonial constructs (Sun, inquiry, lineage, reciprocity events)?</w:t>
      </w:r>
      <w:bookmarkStart w:id="19" w:name="fnref1_5"/>
      <w:bookmarkEnd w:id="19"/>
      <w:hyperlink w:anchor="fn1">
        <w:r>
          <w:rPr>
            <w:rFonts w:eastAsia="inter" w:cs="inter" w:ascii="inter" w:hAnsi="inter"/>
            <w:color w:val="#000"/>
            <w:sz w:val="21"/>
            <w:u w:val="single"/>
            <w:vertAlign w:val="superscript"/>
          </w:rPr>
          <w:t xml:space="preserve">[1]</w:t>
        </w:r>
      </w:hyperlink>
      <w:bookmarkStart w:id="20" w:name="fnref2_5"/>
      <w:bookmarkEnd w:id="20"/>
      <w:hyperlink w:anchor="fn2">
        <w:r>
          <w:rPr>
            <w:rFonts w:eastAsia="inter" w:cs="inter" w:ascii="inter" w:hAnsi="inter"/>
            <w:color w:val="#000"/>
            <w:sz w:val="21"/>
            <w:u w:val="single"/>
            <w:vertAlign w:val="superscript"/>
          </w:rPr>
          <w:t xml:space="preserve">[2]</w:t>
        </w:r>
      </w:hyperlink>
    </w:p>
    <w:p>
      <w:pPr>
        <w:numPr>
          <w:ilvl w:val="0"/>
          <w:numId w:val="2"/>
        </w:numPr>
        <w:spacing w:line="360" w:before="105" w:after="105" w:lineRule="auto"/>
      </w:pPr>
      <w:r>
        <w:rPr>
          <w:rFonts w:eastAsia="inter" w:cs="inter" w:ascii="inter" w:hAnsi="inter"/>
          <w:b/>
          <w:color w:val="000000"/>
          <w:sz w:val="21"/>
        </w:rPr>
        <w:t xml:space="preserve">Axiology</w:t>
      </w:r>
      <w:r>
        <w:rPr>
          <w:rFonts w:eastAsia="inter" w:cs="inter" w:ascii="inter" w:hAnsi="inter"/>
          <w:color w:val="000000"/>
          <w:sz w:val="21"/>
        </w:rPr>
        <w:t xml:space="preserve">: How does it enact respect, reciprocity, and responsibility? For example, does it surface who has given a lot without recognition, or code paths that repeatedly extract without giving back?</w:t>
      </w:r>
    </w:p>
    <w:p>
      <w:pPr>
        <w:spacing w:line="360" w:after="210" w:lineRule="auto"/>
      </w:pPr>
      <w:r>
        <w:rPr>
          <w:rFonts w:eastAsia="inter" w:cs="inter" w:ascii="inter" w:hAnsi="inter"/>
          <w:color w:val="000000"/>
        </w:rPr>
        <w:t xml:space="preserve">These questions become the first “Relational Science” inquiry cycle with GitNexus as the Host Sun’s focal tool under Embodied Practice.</w:t>
      </w:r>
      <w:bookmarkStart w:id="21" w:name="fnref1_6"/>
      <w:bookmarkEnd w:id="21"/>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22" w:name="using_gitnexus_inside_the_ceremon_a8862c"/>
      <w:r>
        <w:rPr>
          <w:rFonts w:eastAsia="inter" w:cs="inter" w:ascii="inter" w:hAnsi="inter"/>
          <w:b/>
          <w:color w:val="000000"/>
          <w:sz w:val="24"/>
        </w:rPr>
        <w:t xml:space="preserve">Using GitNexus inside the Ceremonial Inquiry Ecosystem</w:t>
      </w:r>
      <w:bookmarkEnd w:id="22"/>
    </w:p>
    <w:p>
      <w:pPr>
        <w:spacing w:line="360" w:after="210" w:lineRule="auto"/>
      </w:pPr>
      <w:r>
        <w:rPr>
          <w:rFonts w:eastAsia="inter" w:cs="inter" w:ascii="inter" w:hAnsi="inter"/>
          <w:color w:val="000000"/>
        </w:rPr>
        <w:t xml:space="preserve">Your framework already defines a cyclical cadence (Opening, Council, Integration, Closure/Reciprocity) and artifacts like Woven Insights, Wisdom Ledger entries, and structural tension charts. GitNexus can be integrated at each phase:</w:t>
      </w:r>
      <w:bookmarkStart w:id="23" w:name="fnref4_2"/>
      <w:bookmarkEnd w:id="23"/>
      <w:hyperlink w:anchor="fn4">
        <w:r>
          <w:rPr>
            <w:rFonts w:eastAsia="inter" w:cs="inter" w:ascii="inter" w:hAnsi="inter"/>
            <w:color w:val="#000"/>
            <w:u w:val="single"/>
            <w:vertAlign w:val="superscript"/>
          </w:rPr>
          <w:t xml:space="preserve">[4]</w:t>
        </w:r>
      </w:hyperlink>
      <w:bookmarkStart w:id="24" w:name="fnref1_7"/>
      <w:bookmarkEnd w:id="24"/>
      <w:hyperlink w:anchor="fn1">
        <w:r>
          <w:rPr>
            <w:rFonts w:eastAsia="inter" w:cs="inter" w:ascii="inter" w:hAnsi="inter"/>
            <w:color w:val="#000"/>
            <w:u w:val="single"/>
            <w:vertAlign w:val="superscript"/>
          </w:rPr>
          <w:t xml:space="preserve">[1]</w:t>
        </w:r>
      </w:hyperlink>
    </w:p>
    <w:p>
      <w:pPr>
        <w:numPr>
          <w:ilvl w:val="0"/>
          <w:numId w:val="3"/>
        </w:numPr>
        <w:spacing w:line="360" w:before="105" w:after="105" w:lineRule="auto"/>
      </w:pPr>
      <w:r>
        <w:rPr>
          <w:rFonts w:eastAsia="inter" w:cs="inter" w:ascii="inter" w:hAnsi="inter"/>
          <w:b/>
          <w:color w:val="000000"/>
          <w:sz w:val="21"/>
        </w:rPr>
        <w:t xml:space="preserve">Opening (Intention)</w:t>
      </w:r>
      <w:r>
        <w:rPr>
          <w:rFonts w:eastAsia="inter" w:cs="inter" w:ascii="inter" w:hAnsi="inter"/>
          <w:color w:val="000000"/>
          <w:sz w:val="21"/>
        </w:rPr>
        <w:t xml:space="preserve">: When a Sun hosts (e.g., Woven Meaning or Embodied Practice), GitNexus can surface the current relational state of the relevant repos: where stories, tools, and consciousness are entangled or fragmented.</w:t>
      </w:r>
      <w:bookmarkStart w:id="25" w:name="fnref1_8"/>
      <w:bookmarkEnd w:id="25"/>
      <w:hyperlink w:anchor="fn1">
        <w:r>
          <w:rPr>
            <w:rFonts w:eastAsia="inter" w:cs="inter" w:ascii="inter" w:hAnsi="inter"/>
            <w:color w:val="#000"/>
            <w:sz w:val="21"/>
            <w:u w:val="single"/>
            <w:vertAlign w:val="superscript"/>
          </w:rPr>
          <w:t xml:space="preserve">[1]</w:t>
        </w:r>
      </w:hyperlink>
    </w:p>
    <w:p>
      <w:pPr>
        <w:numPr>
          <w:ilvl w:val="0"/>
          <w:numId w:val="3"/>
        </w:numPr>
        <w:spacing w:line="360" w:before="105" w:after="105" w:lineRule="auto"/>
      </w:pPr>
      <w:r>
        <w:rPr>
          <w:rFonts w:eastAsia="inter" w:cs="inter" w:ascii="inter" w:hAnsi="inter"/>
          <w:b/>
          <w:color w:val="000000"/>
          <w:sz w:val="21"/>
        </w:rPr>
        <w:t xml:space="preserve">Council of Suns (Dialogue)</w:t>
      </w:r>
      <w:r>
        <w:rPr>
          <w:rFonts w:eastAsia="inter" w:cs="inter" w:ascii="inter" w:hAnsi="inter"/>
          <w:color w:val="000000"/>
          <w:sz w:val="21"/>
        </w:rPr>
        <w:t xml:space="preserve">: Each Sun’s perspective can be backed by GitNexus‑generated views: for example, Creative Actualization looking at how structural tension between intended architecture and actual commits is evolving, Woven Meaning looking at how narrative modules and media agents are arranged in code.</w:t>
      </w:r>
      <w:bookmarkStart w:id="26" w:name="fnref4_3"/>
      <w:bookmarkEnd w:id="26"/>
      <w:hyperlink w:anchor="fn4">
        <w:r>
          <w:rPr>
            <w:rFonts w:eastAsia="inter" w:cs="inter" w:ascii="inter" w:hAnsi="inter"/>
            <w:color w:val="#000"/>
            <w:sz w:val="21"/>
            <w:u w:val="single"/>
            <w:vertAlign w:val="superscript"/>
          </w:rPr>
          <w:t xml:space="preserve">[4]</w:t>
        </w:r>
      </w:hyperlink>
      <w:bookmarkStart w:id="27" w:name="fnref1_9"/>
      <w:bookmarkEnd w:id="27"/>
      <w:hyperlink w:anchor="fn1">
        <w:r>
          <w:rPr>
            <w:rFonts w:eastAsia="inter" w:cs="inter" w:ascii="inter" w:hAnsi="inter"/>
            <w:color w:val="#000"/>
            <w:sz w:val="21"/>
            <w:u w:val="single"/>
            <w:vertAlign w:val="superscript"/>
          </w:rPr>
          <w:t xml:space="preserve">[1]</w:t>
        </w:r>
      </w:hyperlink>
    </w:p>
    <w:p>
      <w:pPr>
        <w:numPr>
          <w:ilvl w:val="0"/>
          <w:numId w:val="3"/>
        </w:numPr>
        <w:spacing w:line="360" w:before="105" w:after="105" w:lineRule="auto"/>
      </w:pPr>
      <w:r>
        <w:rPr>
          <w:rFonts w:eastAsia="inter" w:cs="inter" w:ascii="inter" w:hAnsi="inter"/>
          <w:b/>
          <w:color w:val="000000"/>
          <w:sz w:val="21"/>
        </w:rPr>
        <w:t xml:space="preserve">Integration (Synthesis Artifact)</w:t>
      </w:r>
      <w:r>
        <w:rPr>
          <w:rFonts w:eastAsia="inter" w:cs="inter" w:ascii="inter" w:hAnsi="inter"/>
          <w:color w:val="000000"/>
          <w:sz w:val="21"/>
        </w:rPr>
        <w:t xml:space="preserve">: GitNexus can help produce an Integrated Artifact that includes both human narrative and “code constellation” diagrams extracted from the repo.</w:t>
      </w:r>
    </w:p>
    <w:p>
      <w:pPr>
        <w:numPr>
          <w:ilvl w:val="0"/>
          <w:numId w:val="3"/>
        </w:numPr>
        <w:spacing w:line="360" w:before="105" w:after="105" w:lineRule="auto"/>
      </w:pPr>
      <w:r>
        <w:rPr>
          <w:rFonts w:eastAsia="inter" w:cs="inter" w:ascii="inter" w:hAnsi="inter"/>
          <w:b/>
          <w:color w:val="000000"/>
          <w:sz w:val="21"/>
        </w:rPr>
        <w:t xml:space="preserve">Closure (Reciprocity + Seeding)</w:t>
      </w:r>
      <w:r>
        <w:rPr>
          <w:rFonts w:eastAsia="inter" w:cs="inter" w:ascii="inter" w:hAnsi="inter"/>
          <w:color w:val="000000"/>
          <w:sz w:val="21"/>
        </w:rPr>
        <w:t xml:space="preserve">: Commits made as acts of reciprocity (fixes, refactors, documentation, ceremony scripts) can be tagged and tracked; GitNexus then feeds summary signals into the Reciprocity Register and Wisdom Ledger.</w:t>
      </w:r>
      <w:bookmarkStart w:id="28" w:name="fnref1_10"/>
      <w:bookmarkEnd w:id="28"/>
      <w:hyperlink w:anchor="fn1">
        <w:r>
          <w:rPr>
            <w:rFonts w:eastAsia="inter" w:cs="inter" w:ascii="inter" w:hAnsi="inter"/>
            <w:color w:val="#000"/>
            <w:sz w:val="21"/>
            <w:u w:val="single"/>
            <w:vertAlign w:val="superscript"/>
          </w:rPr>
          <w:t xml:space="preserve">[1]</w:t>
        </w:r>
      </w:hyperlink>
    </w:p>
    <w:p>
      <w:pPr>
        <w:spacing w:line="360" w:before="315" w:after="105" w:lineRule="auto"/>
        <w:ind w:left="-30"/>
        <w:jc w:val="left"/>
      </w:pPr>
      <w:bookmarkStart w:id="29" w:name="concrete_gitnexus_functions_for_rsmis"/>
      <w:r>
        <w:rPr>
          <w:rFonts w:eastAsia="inter" w:cs="inter" w:ascii="inter" w:hAnsi="inter"/>
          <w:b/>
          <w:color w:val="000000"/>
          <w:sz w:val="24"/>
        </w:rPr>
        <w:t xml:space="preserve">Concrete GitNexus functions for RSMIS</w:t>
      </w:r>
      <w:bookmarkEnd w:id="29"/>
    </w:p>
    <w:p>
      <w:pPr>
        <w:spacing w:line="360" w:after="210" w:lineRule="auto"/>
      </w:pPr>
      <w:r>
        <w:rPr>
          <w:rFonts w:eastAsia="inter" w:cs="inter" w:ascii="inter" w:hAnsi="inter"/>
          <w:color w:val="000000"/>
        </w:rPr>
        <w:t xml:space="preserve">Here are specific, relationally‑aligned roles GitNexus could play:</w:t>
      </w:r>
    </w:p>
    <w:p>
      <w:pPr>
        <w:numPr>
          <w:ilvl w:val="0"/>
          <w:numId w:val="4"/>
        </w:numPr>
        <w:spacing w:line="360" w:after="210" w:lineRule="auto"/>
      </w:pPr>
      <w:r>
        <w:rPr>
          <w:rFonts w:eastAsia="inter" w:cs="inter" w:ascii="inter" w:hAnsi="inter"/>
          <w:b/>
          <w:color w:val="000000"/>
          <w:sz w:val="21"/>
        </w:rPr>
        <w:t xml:space="preserve">Code‑level Wisdom Ledger adapter</w:t>
      </w:r>
    </w:p>
    <w:p>
      <w:pPr>
        <w:numPr>
          <w:ilvl w:val="1"/>
          <w:numId w:val="4"/>
        </w:numPr>
        <w:spacing w:line="360" w:before="105" w:after="105" w:lineRule="auto"/>
      </w:pPr>
      <w:r>
        <w:rPr>
          <w:rFonts w:eastAsia="inter" w:cs="inter" w:ascii="inter" w:hAnsi="inter"/>
          <w:color w:val="000000"/>
          <w:sz w:val="21"/>
        </w:rPr>
        <w:t xml:space="preserve">Map code artifacts (files, dirs, services, pipelines) to inquiries, Suns, ceremonies, and Integrated Artifacts.</w:t>
      </w:r>
      <w:bookmarkStart w:id="30" w:name="fnref4_4"/>
      <w:bookmarkEnd w:id="30"/>
      <w:hyperlink w:anchor="fn4">
        <w:r>
          <w:rPr>
            <w:rFonts w:eastAsia="inter" w:cs="inter" w:ascii="inter" w:hAnsi="inter"/>
            <w:color w:val="#000"/>
            <w:sz w:val="21"/>
            <w:u w:val="single"/>
            <w:vertAlign w:val="superscript"/>
          </w:rPr>
          <w:t xml:space="preserve">[4]</w:t>
        </w:r>
      </w:hyperlink>
      <w:bookmarkStart w:id="31" w:name="fnref1_11"/>
      <w:bookmarkEnd w:id="31"/>
      <w:hyperlink w:anchor="fn1">
        <w:r>
          <w:rPr>
            <w:rFonts w:eastAsia="inter" w:cs="inter" w:ascii="inter" w:hAnsi="inter"/>
            <w:color w:val="#000"/>
            <w:sz w:val="21"/>
            <w:u w:val="single"/>
            <w:vertAlign w:val="superscript"/>
          </w:rPr>
          <w:t xml:space="preserve">[1]</w:t>
        </w:r>
      </w:hyperlink>
    </w:p>
    <w:p>
      <w:pPr>
        <w:numPr>
          <w:ilvl w:val="1"/>
          <w:numId w:val="4"/>
        </w:numPr>
        <w:spacing w:line="360" w:before="105" w:after="105" w:lineRule="auto"/>
      </w:pPr>
      <w:r>
        <w:rPr>
          <w:rFonts w:eastAsia="inter" w:cs="inter" w:ascii="inter" w:hAnsi="inter"/>
          <w:color w:val="000000"/>
          <w:sz w:val="21"/>
        </w:rPr>
        <w:t xml:space="preserve">Maintain a lineage graph: “This module was born in the Novel Emergence Sun during cycle X, refactored in Sustained Presence during cycle Y, and currently serves these ceremonies.”</w:t>
      </w:r>
    </w:p>
    <w:p>
      <w:pPr>
        <w:numPr>
          <w:ilvl w:val="0"/>
          <w:numId w:val="4"/>
        </w:numPr>
        <w:spacing w:line="360" w:after="210" w:lineRule="auto"/>
      </w:pPr>
      <w:r>
        <w:rPr>
          <w:rFonts w:eastAsia="inter" w:cs="inter" w:ascii="inter" w:hAnsi="inter"/>
          <w:b/>
          <w:color w:val="000000"/>
          <w:sz w:val="21"/>
        </w:rPr>
        <w:t xml:space="preserve">Structural tension visualizer for code</w:t>
      </w:r>
    </w:p>
    <w:p>
      <w:pPr>
        <w:numPr>
          <w:ilvl w:val="1"/>
          <w:numId w:val="4"/>
        </w:numPr>
        <w:spacing w:line="360" w:before="105" w:after="105" w:lineRule="auto"/>
      </w:pPr>
      <w:r>
        <w:rPr>
          <w:rFonts w:eastAsia="inter" w:cs="inter" w:ascii="inter" w:hAnsi="inter"/>
          <w:color w:val="000000"/>
          <w:sz w:val="21"/>
        </w:rPr>
        <w:t xml:space="preserve">Encode each inquiry’s structural tension chart (desired state vs current reality) as machine‑readable metadata.</w:t>
      </w:r>
    </w:p>
    <w:p>
      <w:pPr>
        <w:numPr>
          <w:ilvl w:val="1"/>
          <w:numId w:val="4"/>
        </w:numPr>
        <w:spacing w:line="360" w:before="105" w:after="105" w:lineRule="auto"/>
      </w:pPr>
      <w:r>
        <w:rPr>
          <w:rFonts w:eastAsia="inter" w:cs="inter" w:ascii="inter" w:hAnsi="inter"/>
          <w:color w:val="000000"/>
          <w:sz w:val="21"/>
        </w:rPr>
        <w:t xml:space="preserve">Have GitNexus continually assess the gap: e.g., how far the repo structure, tests, and pipelines are from the declared ceremonial and architectural intent.</w:t>
      </w:r>
      <w:bookmarkStart w:id="32" w:name="fnref4_5"/>
      <w:bookmarkEnd w:id="32"/>
      <w:hyperlink w:anchor="fn4">
        <w:r>
          <w:rPr>
            <w:rFonts w:eastAsia="inter" w:cs="inter" w:ascii="inter" w:hAnsi="inter"/>
            <w:color w:val="#000"/>
            <w:sz w:val="21"/>
            <w:u w:val="single"/>
            <w:vertAlign w:val="superscript"/>
          </w:rPr>
          <w:t xml:space="preserve">[4]</w:t>
        </w:r>
      </w:hyperlink>
    </w:p>
    <w:p>
      <w:pPr>
        <w:numPr>
          <w:ilvl w:val="0"/>
          <w:numId w:val="4"/>
        </w:numPr>
        <w:spacing w:line="360" w:after="210" w:lineRule="auto"/>
      </w:pPr>
      <w:r>
        <w:rPr>
          <w:rFonts w:eastAsia="inter" w:cs="inter" w:ascii="inter" w:hAnsi="inter"/>
          <w:b/>
          <w:color w:val="000000"/>
          <w:sz w:val="21"/>
        </w:rPr>
        <w:t xml:space="preserve">Reciprocity analytics (non‑extractive)</w:t>
      </w:r>
    </w:p>
    <w:p>
      <w:pPr>
        <w:numPr>
          <w:ilvl w:val="1"/>
          <w:numId w:val="4"/>
        </w:numPr>
        <w:spacing w:line="360" w:before="105" w:after="105" w:lineRule="auto"/>
      </w:pPr>
      <w:r>
        <w:rPr>
          <w:rFonts w:eastAsia="inter" w:cs="inter" w:ascii="inter" w:hAnsi="inter"/>
          <w:color w:val="000000"/>
          <w:sz w:val="21"/>
        </w:rPr>
        <w:t xml:space="preserve">Track where contributions are flowing (who reviews whose code, who maintains critical paths) and surface reciprocity imbalances as prompts for ceremonial attention, not as performance metrics.</w:t>
      </w:r>
      <w:bookmarkStart w:id="33" w:name="fnref2_6"/>
      <w:bookmarkEnd w:id="33"/>
      <w:hyperlink w:anchor="fn2">
        <w:r>
          <w:rPr>
            <w:rFonts w:eastAsia="inter" w:cs="inter" w:ascii="inter" w:hAnsi="inter"/>
            <w:color w:val="#000"/>
            <w:sz w:val="21"/>
            <w:u w:val="single"/>
            <w:vertAlign w:val="superscript"/>
          </w:rPr>
          <w:t xml:space="preserve">[2]</w:t>
        </w:r>
      </w:hyperlink>
      <w:bookmarkStart w:id="34" w:name="fnref1_12"/>
      <w:bookmarkEnd w:id="34"/>
      <w:hyperlink w:anchor="fn1">
        <w:r>
          <w:rPr>
            <w:rFonts w:eastAsia="inter" w:cs="inter" w:ascii="inter" w:hAnsi="inter"/>
            <w:color w:val="#000"/>
            <w:sz w:val="21"/>
            <w:u w:val="single"/>
            <w:vertAlign w:val="superscript"/>
          </w:rPr>
          <w:t xml:space="preserve">[1]</w:t>
        </w:r>
      </w:hyperlink>
    </w:p>
    <w:p>
      <w:pPr>
        <w:numPr>
          <w:ilvl w:val="1"/>
          <w:numId w:val="4"/>
        </w:numPr>
        <w:spacing w:line="360" w:before="105" w:after="105" w:lineRule="auto"/>
      </w:pPr>
      <w:r>
        <w:rPr>
          <w:rFonts w:eastAsia="inter" w:cs="inter" w:ascii="inter" w:hAnsi="inter"/>
          <w:color w:val="000000"/>
          <w:sz w:val="21"/>
        </w:rPr>
        <w:t xml:space="preserve">Feed these into the Reciprocity Register so that acts of giving back in code are visible alongside mentoring, documentation, and land‑based practice.</w:t>
      </w:r>
      <w:bookmarkStart w:id="35" w:name="fnref1_13"/>
      <w:bookmarkEnd w:id="35"/>
      <w:hyperlink w:anchor="fn1">
        <w:r>
          <w:rPr>
            <w:rFonts w:eastAsia="inter" w:cs="inter" w:ascii="inter" w:hAnsi="inter"/>
            <w:color w:val="#000"/>
            <w:sz w:val="21"/>
            <w:u w:val="single"/>
            <w:vertAlign w:val="superscript"/>
          </w:rPr>
          <w:t xml:space="preserve">[1]</w:t>
        </w:r>
      </w:hyperlink>
    </w:p>
    <w:p>
      <w:pPr>
        <w:numPr>
          <w:ilvl w:val="0"/>
          <w:numId w:val="4"/>
        </w:numPr>
        <w:spacing w:line="360" w:after="210" w:lineRule="auto"/>
      </w:pPr>
      <w:r>
        <w:rPr>
          <w:rFonts w:eastAsia="inter" w:cs="inter" w:ascii="inter" w:hAnsi="inter"/>
          <w:b/>
          <w:color w:val="000000"/>
          <w:sz w:val="21"/>
        </w:rPr>
        <w:t xml:space="preserve">Story‑kinship mapper for narrative code</w:t>
      </w:r>
    </w:p>
    <w:p>
      <w:pPr>
        <w:numPr>
          <w:ilvl w:val="1"/>
          <w:numId w:val="4"/>
        </w:numPr>
        <w:spacing w:line="360" w:before="105" w:after="105" w:lineRule="auto"/>
      </w:pPr>
      <w:r>
        <w:rPr>
          <w:rFonts w:eastAsia="inter" w:cs="inter" w:ascii="inter" w:hAnsi="inter"/>
          <w:color w:val="000000"/>
          <w:sz w:val="21"/>
        </w:rPr>
        <w:t xml:space="preserve">For narrative and AI agents (COAIA, IAIP story systems, IAIP‑MCP orchestration), map which narratives, prompts, and models co‑occur in code paths.</w:t>
      </w:r>
      <w:bookmarkStart w:id="36" w:name="fnref2_7"/>
      <w:bookmarkEnd w:id="36"/>
      <w:hyperlink w:anchor="fn2">
        <w:r>
          <w:rPr>
            <w:rFonts w:eastAsia="inter" w:cs="inter" w:ascii="inter" w:hAnsi="inter"/>
            <w:color w:val="#000"/>
            <w:sz w:val="21"/>
            <w:u w:val="single"/>
            <w:vertAlign w:val="superscript"/>
          </w:rPr>
          <w:t xml:space="preserve">[2]</w:t>
        </w:r>
      </w:hyperlink>
      <w:bookmarkStart w:id="37" w:name="fnref1_14"/>
      <w:bookmarkEnd w:id="37"/>
      <w:hyperlink w:anchor="fn1">
        <w:r>
          <w:rPr>
            <w:rFonts w:eastAsia="inter" w:cs="inter" w:ascii="inter" w:hAnsi="inter"/>
            <w:color w:val="#000"/>
            <w:sz w:val="21"/>
            <w:u w:val="single"/>
            <w:vertAlign w:val="superscript"/>
          </w:rPr>
          <w:t xml:space="preserve">[1]</w:t>
        </w:r>
      </w:hyperlink>
    </w:p>
    <w:p>
      <w:pPr>
        <w:numPr>
          <w:ilvl w:val="1"/>
          <w:numId w:val="4"/>
        </w:numPr>
        <w:spacing w:line="360" w:before="105" w:after="105" w:lineRule="auto"/>
      </w:pPr>
      <w:r>
        <w:rPr>
          <w:rFonts w:eastAsia="inter" w:cs="inter" w:ascii="inter" w:hAnsi="inter"/>
          <w:color w:val="000000"/>
          <w:sz w:val="21"/>
        </w:rPr>
        <w:t xml:space="preserve">Align this with your “story‑kinship” idea in the Wisdom Ledger, so a steward can see not only how ideas relate in documents but also how they have been concretized in code.</w:t>
      </w:r>
    </w:p>
    <w:p>
      <w:pPr>
        <w:numPr>
          <w:ilvl w:val="0"/>
          <w:numId w:val="4"/>
        </w:numPr>
        <w:spacing w:line="360" w:after="210" w:lineRule="auto"/>
      </w:pPr>
      <w:r>
        <w:rPr>
          <w:rFonts w:eastAsia="inter" w:cs="inter" w:ascii="inter" w:hAnsi="inter"/>
          <w:b/>
          <w:color w:val="000000"/>
          <w:sz w:val="21"/>
        </w:rPr>
        <w:t xml:space="preserve">Ceremonial change hooks</w:t>
      </w:r>
    </w:p>
    <w:p>
      <w:pPr>
        <w:numPr>
          <w:ilvl w:val="1"/>
          <w:numId w:val="4"/>
        </w:numPr>
        <w:spacing w:line="360" w:before="105" w:after="105" w:lineRule="auto"/>
      </w:pPr>
      <w:r>
        <w:rPr>
          <w:rFonts w:eastAsia="inter" w:cs="inter" w:ascii="inter" w:hAnsi="inter"/>
          <w:color w:val="000000"/>
          <w:sz w:val="21"/>
        </w:rPr>
        <w:t xml:space="preserve">Require certain classes of changes (e.g., altering ceremonial protocols, data access touching Indigenous datasets) to pass through defined ceremonies (council review, karakia, written reflection).</w:t>
      </w:r>
      <w:bookmarkStart w:id="38" w:name="fnref3_1"/>
      <w:bookmarkEnd w:id="38"/>
      <w:hyperlink w:anchor="fn3">
        <w:r>
          <w:rPr>
            <w:rFonts w:eastAsia="inter" w:cs="inter" w:ascii="inter" w:hAnsi="inter"/>
            <w:color w:val="#000"/>
            <w:sz w:val="21"/>
            <w:u w:val="single"/>
            <w:vertAlign w:val="superscript"/>
          </w:rPr>
          <w:t xml:space="preserve">[3]</w:t>
        </w:r>
      </w:hyperlink>
      <w:bookmarkStart w:id="39" w:name="fnref2_8"/>
      <w:bookmarkEnd w:id="39"/>
      <w:hyperlink w:anchor="fn2">
        <w:r>
          <w:rPr>
            <w:rFonts w:eastAsia="inter" w:cs="inter" w:ascii="inter" w:hAnsi="inter"/>
            <w:color w:val="#000"/>
            <w:sz w:val="21"/>
            <w:u w:val="single"/>
            <w:vertAlign w:val="superscript"/>
          </w:rPr>
          <w:t xml:space="preserve">[2]</w:t>
        </w:r>
      </w:hyperlink>
    </w:p>
    <w:p>
      <w:pPr>
        <w:numPr>
          <w:ilvl w:val="1"/>
          <w:numId w:val="4"/>
        </w:numPr>
        <w:spacing w:line="360" w:before="105" w:after="105" w:lineRule="auto"/>
      </w:pPr>
      <w:r>
        <w:rPr>
          <w:rFonts w:eastAsia="inter" w:cs="inter" w:ascii="inter" w:hAnsi="inter"/>
          <w:color w:val="000000"/>
          <w:sz w:val="21"/>
        </w:rPr>
        <w:t xml:space="preserve">GitNexus can enforce or at least flag when these hooks are bypassed, supporting relational accountability instead of mere compliance.</w:t>
      </w:r>
    </w:p>
    <w:p>
      <w:pPr>
        <w:spacing w:line="360" w:before="315" w:after="105" w:lineRule="auto"/>
        <w:ind w:left="-30"/>
        <w:jc w:val="left"/>
      </w:pPr>
      <w:bookmarkStart w:id="40" w:name="data_sovereignty_and_kaupapa_māor_5908d8"/>
      <w:r>
        <w:rPr>
          <w:rFonts w:eastAsia="inter" w:cs="inter" w:ascii="inter" w:hAnsi="inter"/>
          <w:b/>
          <w:color w:val="000000"/>
          <w:sz w:val="24"/>
        </w:rPr>
        <w:t xml:space="preserve">Data sovereignty and Kaupapa Māori constraints</w:t>
      </w:r>
      <w:bookmarkEnd w:id="40"/>
    </w:p>
    <w:p>
      <w:pPr>
        <w:spacing w:line="360" w:after="210" w:lineRule="auto"/>
      </w:pPr>
      <w:r>
        <w:rPr>
          <w:rFonts w:eastAsia="inter" w:cs="inter" w:ascii="inter" w:hAnsi="inter"/>
          <w:color w:val="000000"/>
        </w:rPr>
        <w:t xml:space="preserve">Kaupapa Māori and your “non‑negotiable Indigenous methodologies‑centred programme” framing demand that GitNexus respect Māori and other Indigenous data sovereignties. Zero‑server aligns with this by avoiding external aggregation, but the design must go further:</w:t>
      </w:r>
      <w:bookmarkStart w:id="41" w:name="fnref3_2"/>
      <w:bookmarkEnd w:id="41"/>
      <w:hyperlink w:anchor="fn3">
        <w:r>
          <w:rPr>
            <w:rFonts w:eastAsia="inter" w:cs="inter" w:ascii="inter" w:hAnsi="inter"/>
            <w:color w:val="#000"/>
            <w:u w:val="single"/>
            <w:vertAlign w:val="superscript"/>
          </w:rPr>
          <w:t xml:space="preserve">[3]</w:t>
        </w:r>
      </w:hyperlink>
      <w:bookmarkStart w:id="42" w:name="fnref2_9"/>
      <w:bookmarkEnd w:id="42"/>
      <w:hyperlink w:anchor="fn2">
        <w:r>
          <w:rPr>
            <w:rFonts w:eastAsia="inter" w:cs="inter" w:ascii="inter" w:hAnsi="inter"/>
            <w:color w:val="#000"/>
            <w:u w:val="single"/>
            <w:vertAlign w:val="superscript"/>
          </w:rPr>
          <w:t xml:space="preserve">[2]</w:t>
        </w:r>
      </w:hyperlink>
    </w:p>
    <w:p>
      <w:pPr>
        <w:numPr>
          <w:ilvl w:val="0"/>
          <w:numId w:val="5"/>
        </w:numPr>
        <w:spacing w:line="360" w:before="105" w:after="105" w:lineRule="auto"/>
      </w:pPr>
      <w:r>
        <w:rPr>
          <w:rFonts w:eastAsia="inter" w:cs="inter" w:ascii="inter" w:hAnsi="inter"/>
          <w:color w:val="000000"/>
          <w:sz w:val="21"/>
        </w:rPr>
        <w:t xml:space="preserve">Repos that contain Indigenous knowledge, protocols, or ceremonial scripts should be governed by iwi/hapū/whānau rules about access, versioning, and representation; GitNexus must be configurable per‑community rather than having a single global policy.</w:t>
      </w:r>
      <w:bookmarkStart w:id="43" w:name="fnref3_3"/>
      <w:bookmarkEnd w:id="43"/>
      <w:hyperlink w:anchor="fn3">
        <w:r>
          <w:rPr>
            <w:rFonts w:eastAsia="inter" w:cs="inter" w:ascii="inter" w:hAnsi="inter"/>
            <w:color w:val="#000"/>
            <w:sz w:val="21"/>
            <w:u w:val="single"/>
            <w:vertAlign w:val="superscript"/>
          </w:rPr>
          <w:t xml:space="preserve">[3]</w:t>
        </w:r>
      </w:hyperlink>
    </w:p>
    <w:p>
      <w:pPr>
        <w:numPr>
          <w:ilvl w:val="0"/>
          <w:numId w:val="5"/>
        </w:numPr>
        <w:spacing w:line="360" w:before="105" w:after="105" w:lineRule="auto"/>
      </w:pPr>
      <w:r>
        <w:rPr>
          <w:rFonts w:eastAsia="inter" w:cs="inter" w:ascii="inter" w:hAnsi="inter"/>
          <w:color w:val="000000"/>
          <w:sz w:val="21"/>
        </w:rPr>
        <w:t xml:space="preserve">Relational models should explicitly represent obligation and authority (who has mana over this module or dataset, who can approve changes) rather than treating all contributors as interchangeable nodes.</w:t>
      </w:r>
    </w:p>
    <w:p>
      <w:pPr>
        <w:spacing w:line="360" w:after="210" w:lineRule="auto"/>
      </w:pPr>
      <w:r>
        <w:rPr>
          <w:rFonts w:eastAsia="inter" w:cs="inter" w:ascii="inter" w:hAnsi="inter"/>
          <w:color w:val="000000"/>
        </w:rPr>
        <w:t xml:space="preserve">This means RSMIS will likely require a layer of Indigenous governance metadata that GitNexus can read and enforce, not just technical ACLs.</w:t>
      </w:r>
    </w:p>
    <w:p>
      <w:pPr>
        <w:spacing w:line="360" w:before="315" w:after="105" w:lineRule="auto"/>
        <w:ind w:left="-30"/>
        <w:jc w:val="left"/>
      </w:pPr>
      <w:bookmarkStart w:id="44" w:name="implementation_sketch_aligned_wit_205825"/>
      <w:r>
        <w:rPr>
          <w:rFonts w:eastAsia="inter" w:cs="inter" w:ascii="inter" w:hAnsi="inter"/>
          <w:b/>
          <w:color w:val="000000"/>
          <w:sz w:val="24"/>
        </w:rPr>
        <w:t xml:space="preserve">Implementation sketch aligned with ceremony</w:t>
      </w:r>
      <w:bookmarkEnd w:id="44"/>
    </w:p>
    <w:p>
      <w:pPr>
        <w:spacing w:line="360" w:after="210" w:lineRule="auto"/>
      </w:pPr>
      <w:r>
        <w:rPr>
          <w:rFonts w:eastAsia="inter" w:cs="inter" w:ascii="inter" w:hAnsi="inter"/>
          <w:color w:val="000000"/>
        </w:rPr>
        <w:t xml:space="preserve">A possible path that respects your existing ecosystem:</w:t>
      </w:r>
    </w:p>
    <w:p>
      <w:pPr>
        <w:numPr>
          <w:ilvl w:val="0"/>
          <w:numId w:val="6"/>
        </w:numPr>
        <w:spacing w:line="360" w:after="210" w:lineRule="auto"/>
      </w:pPr>
      <w:r>
        <w:rPr>
          <w:rFonts w:eastAsia="inter" w:cs="inter" w:ascii="inter" w:hAnsi="inter"/>
          <w:b/>
          <w:color w:val="000000"/>
          <w:sz w:val="21"/>
        </w:rPr>
        <w:t xml:space="preserve">Ceremony of Naming and Intention for GitNexus</w:t>
      </w:r>
    </w:p>
    <w:p>
      <w:pPr>
        <w:numPr>
          <w:ilvl w:val="1"/>
          <w:numId w:val="6"/>
        </w:numPr>
        <w:spacing w:line="360" w:before="105" w:after="105" w:lineRule="auto"/>
      </w:pPr>
      <w:r>
        <w:rPr>
          <w:rFonts w:eastAsia="inter" w:cs="inter" w:ascii="inter" w:hAnsi="inter"/>
          <w:color w:val="000000"/>
          <w:sz w:val="21"/>
        </w:rPr>
        <w:t xml:space="preserve">Host Sun: Embodied Practice.</w:t>
      </w:r>
    </w:p>
    <w:p>
      <w:pPr>
        <w:numPr>
          <w:ilvl w:val="1"/>
          <w:numId w:val="6"/>
        </w:numPr>
        <w:spacing w:line="360" w:before="105" w:after="105" w:lineRule="auto"/>
      </w:pPr>
      <w:r>
        <w:rPr>
          <w:rFonts w:eastAsia="inter" w:cs="inter" w:ascii="inter" w:hAnsi="inter"/>
          <w:color w:val="000000"/>
          <w:sz w:val="21"/>
        </w:rPr>
        <w:t xml:space="preserve">Intention: “What tools best manifest the ceremonial, narrative‑driven inquiry process we are building?” (language already in your framework).</w:t>
      </w:r>
      <w:bookmarkStart w:id="45" w:name="fnref1_15"/>
      <w:bookmarkEnd w:id="45"/>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Output: a relational charter for GitNexus—what relationships it may touch, what it must protect, and how it returns value.</w:t>
      </w:r>
    </w:p>
    <w:p>
      <w:pPr>
        <w:numPr>
          <w:ilvl w:val="0"/>
          <w:numId w:val="6"/>
        </w:numPr>
        <w:spacing w:line="360" w:after="210" w:lineRule="auto"/>
      </w:pPr>
      <w:r>
        <w:rPr>
          <w:rFonts w:eastAsia="inter" w:cs="inter" w:ascii="inter" w:hAnsi="inter"/>
          <w:b/>
          <w:color w:val="000000"/>
          <w:sz w:val="21"/>
        </w:rPr>
        <w:t xml:space="preserve">Design a Relational Schema grounded in Wilson</w:t>
      </w:r>
    </w:p>
    <w:p>
      <w:pPr>
        <w:numPr>
          <w:ilvl w:val="1"/>
          <w:numId w:val="6"/>
        </w:numPr>
        <w:spacing w:line="360" w:before="105" w:after="105" w:lineRule="auto"/>
      </w:pPr>
      <w:r>
        <w:rPr>
          <w:rFonts w:eastAsia="inter" w:cs="inter" w:ascii="inter" w:hAnsi="inter"/>
          <w:color w:val="000000"/>
          <w:sz w:val="21"/>
        </w:rPr>
        <w:t xml:space="preserve">Entities: Person, Community, Land/Place, Inquiry, Sun, Ceremony, Artifact (code/doc/media), AI Agent, Tool, Ancestor/Future Relation.</w:t>
      </w:r>
      <w:bookmarkStart w:id="46" w:name="fnref2_10"/>
      <w:bookmarkEnd w:id="46"/>
      <w:hyperlink w:anchor="fn2">
        <w:r>
          <w:rPr>
            <w:rFonts w:eastAsia="inter" w:cs="inter" w:ascii="inter" w:hAnsi="inter"/>
            <w:color w:val="#000"/>
            <w:sz w:val="21"/>
            <w:u w:val="single"/>
            <w:vertAlign w:val="superscript"/>
          </w:rPr>
          <w:t xml:space="preserve">[2]</w:t>
        </w:r>
      </w:hyperlink>
      <w:bookmarkStart w:id="47" w:name="fnref1_16"/>
      <w:bookmarkEnd w:id="47"/>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Relations: participates‑in, stewards, is‑born‑from, gives‑back‑to, depends‑on, misaligns‑with (for structural tension).</w:t>
      </w:r>
    </w:p>
    <w:p>
      <w:pPr>
        <w:numPr>
          <w:ilvl w:val="0"/>
          <w:numId w:val="6"/>
        </w:numPr>
        <w:spacing w:line="360" w:after="210" w:lineRule="auto"/>
      </w:pPr>
      <w:r>
        <w:rPr>
          <w:rFonts w:eastAsia="inter" w:cs="inter" w:ascii="inter" w:hAnsi="inter"/>
          <w:b/>
          <w:color w:val="000000"/>
          <w:sz w:val="21"/>
        </w:rPr>
        <w:t xml:space="preserve">Instrument GitNexus to produce ceremonial views</w:t>
      </w:r>
    </w:p>
    <w:p>
      <w:pPr>
        <w:numPr>
          <w:ilvl w:val="1"/>
          <w:numId w:val="6"/>
        </w:numPr>
        <w:spacing w:line="360" w:before="105" w:after="105" w:lineRule="auto"/>
      </w:pPr>
      <w:r>
        <w:rPr>
          <w:rFonts w:eastAsia="inter" w:cs="inter" w:ascii="inter" w:hAnsi="inter"/>
          <w:color w:val="000000"/>
          <w:sz w:val="21"/>
        </w:rPr>
        <w:t xml:space="preserve">Develop adapters that read git history and project it into this schema.</w:t>
      </w:r>
    </w:p>
    <w:p>
      <w:pPr>
        <w:numPr>
          <w:ilvl w:val="1"/>
          <w:numId w:val="6"/>
        </w:numPr>
        <w:spacing w:line="360" w:before="105" w:after="105" w:lineRule="auto"/>
      </w:pPr>
      <w:r>
        <w:rPr>
          <w:rFonts w:eastAsia="inter" w:cs="inter" w:ascii="inter" w:hAnsi="inter"/>
          <w:color w:val="000000"/>
          <w:sz w:val="21"/>
        </w:rPr>
        <w:t xml:space="preserve">Define a set of “inquiry dashboards” that look more like Wisdom Ledger pages than typical dev dashboards, possibly outputting markdown that can be woven straight into your Ledger and Stewards Compass.</w:t>
      </w:r>
      <w:bookmarkStart w:id="48" w:name="fnref4_6"/>
      <w:bookmarkEnd w:id="48"/>
      <w:hyperlink w:anchor="fn4">
        <w:r>
          <w:rPr>
            <w:rFonts w:eastAsia="inter" w:cs="inter" w:ascii="inter" w:hAnsi="inter"/>
            <w:color w:val="#000"/>
            <w:sz w:val="21"/>
            <w:u w:val="single"/>
            <w:vertAlign w:val="superscript"/>
          </w:rPr>
          <w:t xml:space="preserve">[4]</w:t>
        </w:r>
      </w:hyperlink>
      <w:bookmarkStart w:id="49" w:name="fnref1_17"/>
      <w:bookmarkEnd w:id="49"/>
      <w:hyperlink w:anchor="fn1">
        <w:r>
          <w:rPr>
            <w:rFonts w:eastAsia="inter" w:cs="inter" w:ascii="inter" w:hAnsi="inter"/>
            <w:color w:val="#000"/>
            <w:sz w:val="21"/>
            <w:u w:val="single"/>
            <w:vertAlign w:val="superscript"/>
          </w:rPr>
          <w:t xml:space="preserve">[1]</w:t>
        </w:r>
      </w:hyperlink>
    </w:p>
    <w:p>
      <w:pPr>
        <w:numPr>
          <w:ilvl w:val="0"/>
          <w:numId w:val="6"/>
        </w:numPr>
        <w:spacing w:line="360" w:after="210" w:lineRule="auto"/>
      </w:pPr>
      <w:r>
        <w:rPr>
          <w:rFonts w:eastAsia="inter" w:cs="inter" w:ascii="inter" w:hAnsi="inter"/>
          <w:b/>
          <w:color w:val="000000"/>
          <w:sz w:val="21"/>
        </w:rPr>
        <w:t xml:space="preserve">Pilot on one Sun and one inquiry bundle</w:t>
      </w:r>
    </w:p>
    <w:p>
      <w:pPr>
        <w:numPr>
          <w:ilvl w:val="1"/>
          <w:numId w:val="6"/>
        </w:numPr>
        <w:spacing w:line="360" w:before="105" w:after="105" w:lineRule="auto"/>
      </w:pPr>
      <w:r>
        <w:rPr>
          <w:rFonts w:eastAsia="inter" w:cs="inter" w:ascii="inter" w:hAnsi="inter"/>
          <w:color w:val="000000"/>
          <w:sz w:val="21"/>
        </w:rPr>
        <w:t xml:space="preserve">For example, take Sun 5 (Embodied Practice) inquiries around “tool building” and session continuity, and wire GitNexus only to those repos first.</w:t>
      </w:r>
      <w:bookmarkStart w:id="50" w:name="fnref1_18"/>
      <w:bookmarkEnd w:id="50"/>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Evaluate in a quarterly Ceremony of Reflection: does this truly deepen relational accountability and understanding, or does it pull you back toward problem‑solving orientation?</w:t>
      </w:r>
      <w:bookmarkStart w:id="51" w:name="fnref4_7"/>
      <w:bookmarkEnd w:id="51"/>
      <w:hyperlink w:anchor="fn4">
        <w:r>
          <w:rPr>
            <w:rFonts w:eastAsia="inter" w:cs="inter" w:ascii="inter" w:hAnsi="inter"/>
            <w:color w:val="#000"/>
            <w:sz w:val="21"/>
            <w:u w:val="single"/>
            <w:vertAlign w:val="superscript"/>
          </w:rPr>
          <w:t xml:space="preserve">[4]</w:t>
        </w:r>
      </w:hyperlink>
      <w:bookmarkStart w:id="52" w:name="fnref1_19"/>
      <w:bookmarkEnd w:id="52"/>
      <w:hyperlink w:anchor="fn1">
        <w:r>
          <w:rPr>
            <w:rFonts w:eastAsia="inter" w:cs="inter" w:ascii="inter" w:hAnsi="inter"/>
            <w:color w:val="#000"/>
            <w:sz w:val="21"/>
            <w:u w:val="single"/>
            <w:vertAlign w:val="superscript"/>
          </w:rPr>
          <w:t xml:space="preserve">[1]</w:t>
        </w:r>
      </w:hyperlink>
    </w:p>
    <w:p>
      <w:pPr>
        <w:numPr>
          <w:ilvl w:val="0"/>
          <w:numId w:val="6"/>
        </w:numPr>
        <w:spacing w:line="360" w:after="210" w:lineRule="auto"/>
      </w:pPr>
      <w:r>
        <w:rPr>
          <w:rFonts w:eastAsia="inter" w:cs="inter" w:ascii="inter" w:hAnsi="inter"/>
          <w:b/>
          <w:color w:val="000000"/>
          <w:sz w:val="21"/>
        </w:rPr>
        <w:t xml:space="preserve">Iterate via Stewards Compass, not feature roadmaps</w:t>
      </w:r>
    </w:p>
    <w:p>
      <w:pPr>
        <w:numPr>
          <w:ilvl w:val="1"/>
          <w:numId w:val="6"/>
        </w:numPr>
        <w:spacing w:line="360" w:before="105" w:after="105" w:lineRule="auto"/>
      </w:pPr>
      <w:r>
        <w:rPr>
          <w:rFonts w:eastAsia="inter" w:cs="inter" w:ascii="inter" w:hAnsi="inter"/>
          <w:color w:val="000000"/>
          <w:sz w:val="21"/>
        </w:rPr>
        <w:t xml:space="preserve">Use the Stewards Compass to record lessons: where GitNexus honored ceremony, where it felt extractive, how it should be repositioned.</w:t>
      </w:r>
      <w:bookmarkStart w:id="53" w:name="fnref4_8"/>
      <w:bookmarkEnd w:id="53"/>
      <w:hyperlink w:anchor="fn4">
        <w:r>
          <w:rPr>
            <w:rFonts w:eastAsia="inter" w:cs="inter" w:ascii="inter" w:hAnsi="inter"/>
            <w:color w:val="#000"/>
            <w:sz w:val="21"/>
            <w:u w:val="single"/>
            <w:vertAlign w:val="superscript"/>
          </w:rPr>
          <w:t xml:space="preserve">[4]</w:t>
        </w:r>
      </w:hyperlink>
      <w:bookmarkStart w:id="54" w:name="fnref1_20"/>
      <w:bookmarkEnd w:id="54"/>
      <w:hyperlink w:anchor="fn1">
        <w:r>
          <w:rPr>
            <w:rFonts w:eastAsia="inter" w:cs="inter" w:ascii="inter" w:hAnsi="inter"/>
            <w:color w:val="#000"/>
            <w:sz w:val="21"/>
            <w:u w:val="single"/>
            <w:vertAlign w:val="superscript"/>
          </w:rPr>
          <w:t xml:space="preserve">[1]</w:t>
        </w:r>
      </w:hyperlink>
    </w:p>
    <w:p>
      <w:pPr>
        <w:numPr>
          <w:ilvl w:val="1"/>
          <w:numId w:val="6"/>
        </w:numPr>
        <w:spacing w:line="360" w:before="105" w:after="105" w:lineRule="auto"/>
      </w:pPr>
      <w:r>
        <w:rPr>
          <w:rFonts w:eastAsia="inter" w:cs="inter" w:ascii="inter" w:hAnsi="inter"/>
          <w:color w:val="000000"/>
          <w:sz w:val="21"/>
        </w:rPr>
        <w:t xml:space="preserve">Let those teachings, not external roadmaps, guide subsequent extensions.</w:t>
      </w:r>
    </w:p>
    <w:p>
      <w:pPr>
        <w:spacing w:line="360" w:before="315" w:after="105" w:lineRule="auto"/>
        <w:ind w:left="-30"/>
        <w:jc w:val="left"/>
      </w:pPr>
      <w:bookmarkStart w:id="55" w:name="guardrails_against_western_analyt_8f2ee3"/>
      <w:r>
        <w:rPr>
          <w:rFonts w:eastAsia="inter" w:cs="inter" w:ascii="inter" w:hAnsi="inter"/>
          <w:b/>
          <w:color w:val="000000"/>
          <w:sz w:val="24"/>
        </w:rPr>
        <w:t xml:space="preserve">Guardrails against Western analytics drift</w:t>
      </w:r>
      <w:bookmarkEnd w:id="55"/>
    </w:p>
    <w:p>
      <w:pPr>
        <w:spacing w:line="360" w:after="210" w:lineRule="auto"/>
      </w:pPr>
      <w:r>
        <w:rPr>
          <w:rFonts w:eastAsia="inter" w:cs="inter" w:ascii="inter" w:hAnsi="inter"/>
          <w:color w:val="000000"/>
        </w:rPr>
        <w:t xml:space="preserve">There are obvious attractors back to conventional dev tooling: converting GitNexus into a productivity, risk, or surveillance engine. A Relational Science framing suggests several guardrails:</w:t>
      </w:r>
    </w:p>
    <w:p>
      <w:pPr>
        <w:numPr>
          <w:ilvl w:val="0"/>
          <w:numId w:val="7"/>
        </w:numPr>
        <w:spacing w:line="360" w:before="105" w:after="105" w:lineRule="auto"/>
      </w:pPr>
      <w:r>
        <w:rPr>
          <w:rFonts w:eastAsia="inter" w:cs="inter" w:ascii="inter" w:hAnsi="inter"/>
          <w:color w:val="000000"/>
          <w:sz w:val="21"/>
        </w:rPr>
        <w:t xml:space="preserve">Never treat people as metrics; treat metrics as stories requiring dialogue and ceremony before interpretation.</w:t>
      </w:r>
    </w:p>
    <w:p>
      <w:pPr>
        <w:numPr>
          <w:ilvl w:val="0"/>
          <w:numId w:val="7"/>
        </w:numPr>
        <w:spacing w:line="360" w:before="105" w:after="105" w:lineRule="auto"/>
      </w:pPr>
      <w:r>
        <w:rPr>
          <w:rFonts w:eastAsia="inter" w:cs="inter" w:ascii="inter" w:hAnsi="inter"/>
          <w:color w:val="000000"/>
          <w:sz w:val="21"/>
        </w:rPr>
        <w:t xml:space="preserve">Keep human and community narratives primary in the Wisdom Ledger, with GitNexus outputs as secondary witnesses or “appendices” rather than the main text.</w:t>
      </w:r>
      <w:bookmarkStart w:id="56" w:name="fnref1_21"/>
      <w:bookmarkEnd w:id="56"/>
      <w:hyperlink w:anchor="fn1">
        <w:r>
          <w:rPr>
            <w:rFonts w:eastAsia="inter" w:cs="inter" w:ascii="inter" w:hAnsi="inter"/>
            <w:color w:val="#000"/>
            <w:sz w:val="21"/>
            <w:u w:val="single"/>
            <w:vertAlign w:val="superscript"/>
          </w:rPr>
          <w:t xml:space="preserve">[1]</w:t>
        </w:r>
      </w:hyperlink>
      <w:bookmarkStart w:id="57" w:name="fnref4_9"/>
      <w:bookmarkEnd w:id="57"/>
      <w:hyperlink w:anchor="fn4">
        <w:r>
          <w:rPr>
            <w:rFonts w:eastAsia="inter" w:cs="inter" w:ascii="inter" w:hAnsi="inter"/>
            <w:color w:val="#000"/>
            <w:sz w:val="21"/>
            <w:u w:val="single"/>
            <w:vertAlign w:val="superscript"/>
          </w:rPr>
          <w:t xml:space="preserve">[4]</w:t>
        </w:r>
      </w:hyperlink>
    </w:p>
    <w:p>
      <w:pPr>
        <w:numPr>
          <w:ilvl w:val="0"/>
          <w:numId w:val="7"/>
        </w:numPr>
        <w:spacing w:line="360" w:before="105" w:after="105" w:lineRule="auto"/>
      </w:pPr>
      <w:r>
        <w:rPr>
          <w:rFonts w:eastAsia="inter" w:cs="inter" w:ascii="inter" w:hAnsi="inter"/>
          <w:color w:val="000000"/>
          <w:sz w:val="21"/>
        </w:rPr>
        <w:t xml:space="preserve">Build in friction for any feature that ranks individuals; favor views that highlight reciprocity networks, collective patterns, and emergent themes.</w:t>
      </w:r>
    </w:p>
    <w:p>
      <w:pPr>
        <w:spacing w:line="360" w:after="210" w:lineRule="auto"/>
      </w:pPr>
      <w:r>
        <w:rPr>
          <w:rFonts w:eastAsia="inter" w:cs="inter" w:ascii="inter" w:hAnsi="inter"/>
          <w:color w:val="000000"/>
        </w:rPr>
        <w:t xml:space="preserve">Seen this way, GitNexus becomes a participant in your ceremony of research, a local intelligence that helps you see and tend relationships in code, in alignment with Wilson’s research‑as‑ceremony and Kaupapa Māori’s insistence on Indigenous control and benefit. RSMIS then is the larger architecture that ensures that every use of such tools remains accountable to the Central Fire of your inquiry and to the communities whose stories and code they touch.</w:t>
      </w:r>
      <w:bookmarkStart w:id="58" w:name="fnref3_4"/>
      <w:bookmarkEnd w:id="58"/>
      <w:hyperlink w:anchor="fn3">
        <w:r>
          <w:rPr>
            <w:rFonts w:eastAsia="inter" w:cs="inter" w:ascii="inter" w:hAnsi="inter"/>
            <w:color w:val="#000"/>
            <w:u w:val="single"/>
            <w:vertAlign w:val="superscript"/>
          </w:rPr>
          <w:t xml:space="preserve">[3]</w:t>
        </w:r>
      </w:hyperlink>
      <w:bookmarkStart w:id="59" w:name="fnref2_11"/>
      <w:bookmarkEnd w:id="59"/>
      <w:hyperlink w:anchor="fn2">
        <w:r>
          <w:rPr>
            <w:rFonts w:eastAsia="inter" w:cs="inter" w:ascii="inter" w:hAnsi="inter"/>
            <w:color w:val="#000"/>
            <w:u w:val="single"/>
            <w:vertAlign w:val="superscript"/>
          </w:rPr>
          <w:t xml:space="preserve">[2]</w:t>
        </w:r>
      </w:hyperlink>
      <w:bookmarkStart w:id="60" w:name="fnref1_22"/>
      <w:bookmarkEnd w:id="60"/>
      <w:hyperlink w:anchor="fn1">
        <w:r>
          <w:rPr>
            <w:rFonts w:eastAsia="inter" w:cs="inter" w:ascii="inter" w:hAnsi="inter"/>
            <w:color w:val="#000"/>
            <w:u w:val="single"/>
            <w:vertAlign w:val="superscript"/>
          </w:rPr>
          <w:t xml:space="preserve">[1]</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61" w:name="fn1"/>
    <w:bookmarkEnd w:id="61"/>
    <w:p>
      <w:pPr>
        <w:numPr>
          <w:ilvl w:val="0"/>
          <w:numId w:val="9"/>
        </w:numPr>
        <w:spacing w:line="360" w:after="210" w:lineRule="auto"/>
      </w:pPr>
      <w:hyperlink r:id="rId6">
        <w:r>
          <w:rPr>
            <w:rFonts w:eastAsia="inter" w:cs="inter" w:ascii="inter" w:hAnsi="inter"/>
            <w:color w:val="#000"/>
            <w:sz w:val="18"/>
            <w:u w:val="single"/>
          </w:rPr>
          <w:t xml:space="preserve">260109-INQUIRY-ECOSYSTEM-FRAMEWORK.md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2" w:name="fn2"/>
    <w:bookmarkEnd w:id="62"/>
    <w:p>
      <w:pPr>
        <w:numPr>
          <w:ilvl w:val="0"/>
          <w:numId w:val="9"/>
        </w:numPr>
        <w:spacing w:line="360" w:after="210" w:lineRule="auto"/>
      </w:pPr>
      <w:r>
        <w:rPr>
          <w:rFonts w:eastAsia="inter" w:cs="inter" w:ascii="inter" w:hAnsi="inter"/>
          <w:color w:val="000000"/>
          <w:sz w:val="18"/>
        </w:rPr>
        <w:t xml:space="preserve">RESULT-001___Transform_Indigenous_research_ceremonial_practices.2602140402.md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3" w:name="fn3"/>
    <w:bookmarkEnd w:id="63"/>
    <w:p>
      <w:pPr>
        <w:numPr>
          <w:ilvl w:val="0"/>
          <w:numId w:val="9"/>
        </w:numPr>
        <w:spacing w:line="360" w:after="210" w:lineRule="auto"/>
      </w:pPr>
      <w:hyperlink r:id="rId7">
        <w:r>
          <w:rPr>
            <w:rFonts w:eastAsia="inter" w:cs="inter" w:ascii="inter" w:hAnsi="inter"/>
            <w:color w:val="#000"/>
            <w:sz w:val="18"/>
            <w:u w:val="single"/>
          </w:rPr>
          <w:t xml:space="preserve">RCH-research-approach-Kaupapa-vs-Wilson-c3253477.md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4" w:name="fn4"/>
    <w:bookmarkEnd w:id="64"/>
    <w:p>
      <w:pPr>
        <w:numPr>
          <w:ilvl w:val="0"/>
          <w:numId w:val="9"/>
        </w:numPr>
        <w:spacing w:line="360" w:after="210" w:lineRule="auto"/>
      </w:pPr>
      <w:hyperlink r:id="rId8">
        <w:r>
          <w:rPr>
            <w:rFonts w:eastAsia="inter" w:cs="inter" w:ascii="inter" w:hAnsi="inter"/>
            <w:color w:val="#000"/>
            <w:sz w:val="18"/>
            <w:u w:val="single"/>
          </w:rPr>
          <w:t xml:space="preserve">260109-INQUIRY-ECOSYSTEM-SUMMARY.md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abstractNum>
  <w:abstractNum w:abstractNumId="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40369574cb9f79e03058c9b994df68752465c003.png" TargetMode="Internal"/><Relationship Id="rId6" Type="http://schemas.openxmlformats.org/officeDocument/2006/relationships/hyperlink" Target="http://260109-INQUIRY-ECOSYSTEM-FRAMEWORK.md" TargetMode="External"/><Relationship Id="rId7" Type="http://schemas.openxmlformats.org/officeDocument/2006/relationships/hyperlink" Target="http://RCH-research-approach-Kaupapa-vs-Wilson-c3253477.md" TargetMode="External"/><Relationship Id="rId8" Type="http://schemas.openxmlformats.org/officeDocument/2006/relationships/hyperlink" Target="http://260109-INQUIRY-ECOSYSTEM-SUMMARY.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2026-02-21T17:59:13.467Z</dcterms:created>
  <dcterms:modified xsi:type="dcterms:W3CDTF">2026-02-21T17:59:13.467Z</dcterms:modified>
</cp:coreProperties>
</file>