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80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40"/>
        </w:rPr>
        <w:t>法律审查意见要点</w:t>
      </w:r>
    </w:p>
    <w:p>
      <w:pPr>
        <w:jc w:val="center"/>
        <w:spacing w:before="0" w:after="400"/>
      </w:pPr>
      <w:r>
        <w:rPr>
          <w:rFonts w:eastAsia="宋体" w:ascii="Arial" w:hAnsi="Arial"/>
          <w:rFonts w:ascii="宋体" w:hAnsi="宋体"/>
          <w:b w:val="0"/>
          <w:i w:val="0"/>
          <w:color w:val="666666"/>
          <w:sz w:val="22"/>
        </w:rPr>
        <w:t>（草稿）</w:t>
      </w:r>
    </w:p>
    <w:p>
      <w:pPr>
        <w:spacing w:before="80" w:after="80"/>
        <w:pBdr>
          <w:bottom w:val="single" w:sz="8" w:space="1" w:color="333333"/>
        </w:pBdr>
      </w:pPr>
    </w:p>
    <w:p>
      <w:pPr>
        <w:jc w:val="center"/>
        <w:spacing w:before="24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8"/>
        </w:rPr>
        <w:t>Barley-SPA-创始人J</w:t>
      </w:r>
    </w:p>
    <w:p>
      <w:pPr>
        <w:jc w:val="center"/>
        <w:spacing w:before="80" w:after="80"/>
      </w:pPr>
      <w:r>
        <w:rPr>
          <w:rFonts w:eastAsia="宋体" w:ascii="Arial" w:hAnsi="Arial"/>
          <w:rFonts w:ascii="宋体" w:hAnsi="宋体"/>
          <w:b w:val="0"/>
          <w:i w:val="0"/>
          <w:color w:val="666666"/>
          <w:sz w:val="22"/>
        </w:rPr>
        <w:t>综合评分：52/100 | 风险评级：重大风险</w:t>
      </w:r>
    </w:p>
    <w:p>
      <w:pPr>
        <w:jc w:val="center"/>
        <w:spacing w:before="240" w:after="0"/>
      </w:pPr>
      <w:r>
        <w:rPr>
          <w:rFonts w:eastAsia="宋体" w:ascii="Arial" w:hAnsi="Arial"/>
          <w:rFonts w:ascii="宋体" w:hAnsi="宋体"/>
          <w:b w:val="0"/>
          <w:i w:val="0"/>
          <w:color w:val="666666"/>
          <w:sz w:val="20"/>
        </w:rPr>
        <w:t>2026年06月08日</w:t>
      </w:r>
    </w:p>
    <w:p>
      <w:pPr>
        <w:spacing w:before="80" w:after="80"/>
        <w:pBdr>
          <w:bottom w:val="single" w:sz="4" w:space="1" w:color="AAAAAA"/>
        </w:pBdr>
      </w:pPr>
    </w:p>
    <w:p>
      <w:pPr>
        <w:jc w:val="center"/>
        <w:spacing w:before="160" w:after="0"/>
      </w:pPr>
      <w:r>
        <w:rPr>
          <w:rFonts w:eastAsia="宋体" w:ascii="Arial" w:hAnsi="Arial"/>
          <w:rFonts w:ascii="宋体" w:hAnsi="宋体"/>
          <w:b w:val="0"/>
          <w:i/>
          <w:color w:val="666666"/>
          <w:sz w:val="18"/>
        </w:rPr>
        <w:t>本意见由 AI 辅助生成，仅供参考，不构成正式法律意见</w:t>
      </w:r>
    </w:p>
    <w:p>
      <w:r>
        <w:br w:type="page"/>
      </w:r>
    </w:p>
    <w:p>
      <w:pPr>
        <w:spacing w:before="0" w:after="240"/>
        <w:pBdr>
          <w:bottom w:val="single" w:sz="4" w:space="4" w:color="404040"/>
        </w:pBdr>
      </w:pPr>
      <w:r>
        <w:rPr>
          <w:rFonts w:eastAsia="宋体" w:ascii="Arial" w:hAnsi="Arial"/>
          <w:rFonts w:ascii="宋体" w:hAnsi="宋体"/>
          <w:b/>
          <w:i w:val="0"/>
          <w:color w:val="333333"/>
          <w:sz w:val="32"/>
        </w:rPr>
        <w:t>法律审查意见要点（草稿）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合同名称：[目标公司名称]增资协议（Barley SPA Draft FD 20260530 — HW0608修改）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审查立场：创始人 J（创始股东）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审查日期：2026年6月8日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风险评级：重大风险（综合评分：52/100）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说明：本意见中，</w:t>
      </w: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>[商业决策]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 xml:space="preserve"> 标注的事项涉及核心商业条款，建议由 J 本人与律师协商后决策；</w:t>
      </w: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>[起草技术]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 xml:space="preserve"> 标注的事项为起草层面问题，可直接指示律师修改。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6"/>
        </w:rPr>
        <w:t>一、合同基本信息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合同类型：增资协议（SPA）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目标公司：[目标公司名称]，从事新型电光薄膜材料及硅基光电子集成芯片业务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认购方：上海云玡企业管理咨询有限公司（领投，蚂蚁关联方）、[跟投方]（TBD）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保证方：公司、J、创始人持股平台、员工持股平台A/B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适用法律：中国法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争议解决：上海国际经济贸易仲裁委员会，上海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合同状态：草稿，大量核心商业数据仍为占位符，尚未签署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6"/>
        </w:rPr>
        <w:t>二、主要法律问题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本次审查发现重大问题4项、一般问题5项，分述如下。</w:t>
      </w:r>
    </w:p>
    <w:p>
      <w:pPr>
        <w:spacing w:before="20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>（一）重大问题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问题一　[商业决策]　竞业禁止期限实质无限期、无补偿、范围极宽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条款位置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：第6.09条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现行约定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J须全职服务直至合格IPO；非竞争义务持续至J"担任公司职员且持有公司股权之日"起两年，两个计时起点须同时满足（离职且出清全部股权）方才开始计时。全职义务及非竞争义务期间无任何补偿约定。禁止内容涵盖：从事竞争业务、担任竞争者职务、向竞争者投资、向竞争者提供咨询或协助、为竞争者招募公司员工/客户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法律风险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无地域范围限定、无补偿、期限与持股挂钩，约定"该等义务不适用于劳动合同法"试图规避劳动法保护。法律依据：《民法典》第一百五十一条（显失公平可撤销）[未验证]；《劳动合同法》第二十三、二十四条参照适用 [本地库]。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法律风险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 xml:space="preserve">：8/10　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商业摩擦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：7/10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风险程度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：重大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处理建议：</w:t>
      </w:r>
    </w:p>
    <w:p>
      <w:pPr>
        <w:spacing w:before="40" w:after="40"/>
        <w:ind w:left="480"/>
        <w:pBdr>
          <w:left w:val="single" w:sz="6" w:space="4" w:color="AAAAAA"/>
        </w:pBdr>
      </w:pPr>
      <w:r>
        <w:rPr>
          <w:rFonts w:eastAsia="宋体" w:ascii="Arial" w:hAnsi="Arial"/>
          <w:rFonts w:ascii="宋体" w:hAnsi="宋体"/>
          <w:b w:val="0"/>
          <w:i/>
          <w:color w:val="333333"/>
          <w:sz w:val="20"/>
        </w:rPr>
        <w:t>方案A（争取）：以J不再担任公司职员之日为计时起点（不以持股为第二起点）；不超过2年；地域范围限定为公司实际经营的中国境内区域；每月支付不低于J离职前12个月月均薪酬30%的竞业补偿；认购方未按时支付补偿，J有权解除竞业限制。 方案B（可接受底线）：增加被动持有未上市公司5%以下股权豁免；地域范围增加"仅限与公司核心业务存在直接竞争关系"限定语；非竞争义务最长不超过自J离职之日起2年，不以出清股权为第二计时起点；提供不低于30%月均薪酬的竞业补偿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问题二　[商业决策]　创始人赔偿责任以全部持股处置所得为上限，实质财务敞口巨大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条款位置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：第8.02条(b)(3)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现行约定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创始股东在集团未能于60个工作日内足额赔偿时，承担第二顺位补充责任，上限为J届时直接和/或间接持有公司全部股权（含创始人持股平台及实际授予J的激励股权）善意处置所得款项（扣除税费后）。上限以外的个人财产不受追偿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问题分析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J的全部持股价值处于赔偿敞口中。若公司退出估值较高，J在交易中的全部所得可能被用于履行赔偿义务。"善意处置所得"而非"公允价值"的标准，可能导致被迫低价变现。法律依据：《民法典》第五百八十五条第二款 [本地库]。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法律风险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 xml:space="preserve">：7/10　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商业摩擦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：6/10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风险程度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：重大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处理建议：</w:t>
      </w:r>
    </w:p>
    <w:p>
      <w:pPr>
        <w:spacing w:before="40" w:after="40"/>
        <w:ind w:left="480"/>
        <w:pBdr>
          <w:left w:val="single" w:sz="6" w:space="4" w:color="AAAAAA"/>
        </w:pBdr>
      </w:pPr>
      <w:r>
        <w:rPr>
          <w:rFonts w:eastAsia="宋体" w:ascii="Arial" w:hAnsi="Arial"/>
          <w:rFonts w:ascii="宋体" w:hAnsi="宋体"/>
          <w:b w:val="0"/>
          <w:i/>
          <w:color w:val="333333"/>
          <w:sz w:val="20"/>
        </w:rPr>
        <w:t>方案A（争取）：明确排除J通过员工持股平台享有的激励股权；赔偿上限进一步限定为创始人持股平台所持股权处置所得。 方案B（可接受底线）：明确"善意处置"须不低于最近一轮融资估值隐含的每股价格；增加"须经仲裁裁决确认方可执行股权处置"程序前提。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问题三　[商业决策]　关键员工院校审批作为交割先决条件，风险不可控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条款位置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：第3.01条(k)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现行约定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：J、H、Z、峰须在交割日前完成任职院校的备案和审批手续并提供证明文件。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问题分析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：高校审批不在公司或创始人控制范围内。若院校审批迟延超过最终截止日（当前草稿90日），交割可能流产，J将承担违约风险。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法律风险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 xml:space="preserve">：7/10　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商业摩擦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：8/10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风险程度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：重大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处理建议：</w:t>
      </w:r>
    </w:p>
    <w:p>
      <w:pPr>
        <w:spacing w:before="40" w:after="40"/>
        <w:ind w:left="480"/>
        <w:pBdr>
          <w:left w:val="single" w:sz="6" w:space="4" w:color="AAAAAA"/>
        </w:pBdr>
      </w:pPr>
      <w:r>
        <w:rPr>
          <w:rFonts w:eastAsia="宋体" w:ascii="Arial" w:hAnsi="Arial"/>
          <w:rFonts w:ascii="宋体" w:hAnsi="宋体"/>
          <w:b w:val="0"/>
          <w:i/>
          <w:color w:val="333333"/>
          <w:sz w:val="20"/>
        </w:rPr>
        <w:t>方案A（争取）：将院校审批改为"交割后90日内完成"的交割后承诺事项，而非交割先决条件。 方案B（可接受底线）：增加"若院校审批申请已提交且无拒绝迹象，认购方不得单独以审批程序未完成为由拒绝交割；创始人承诺在交割后90日内取得批准"。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问题四　[商业决策]　上海云玡品牌使用限制永久适用，且覆盖蚂蚁集团全系品牌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条款位置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：第6.04条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现行约定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：无论上海云玡是否仍持有公司股权，公司及J不得使用列举的超过20个蚂蚁/阿里系品牌；退出后仍继续有效（第9.02条）。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问题分析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：永久性品牌使用限制在公司日后开展与蚂蚁/阿里系任何实体的商业合作时将产生合规负担。若在营销材料中提及合作事实也可能触发违约风险。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法律风险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 xml:space="preserve">：6/10　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商业摩擦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：6/10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风险程度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：重大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处理建议：</w:t>
      </w:r>
    </w:p>
    <w:p>
      <w:pPr>
        <w:spacing w:before="40" w:after="40"/>
        <w:ind w:left="480"/>
        <w:pBdr>
          <w:left w:val="single" w:sz="6" w:space="4" w:color="AAAAAA"/>
        </w:pBdr>
      </w:pPr>
      <w:r>
        <w:rPr>
          <w:rFonts w:eastAsia="宋体" w:ascii="Arial" w:hAnsi="Arial"/>
          <w:rFonts w:ascii="宋体" w:hAnsi="宋体"/>
          <w:b w:val="0"/>
          <w:i/>
          <w:color w:val="333333"/>
          <w:sz w:val="20"/>
        </w:rPr>
        <w:t>方案A（争取）："上海云玡不再持有公司任何股权后2年，本条款自动失效"；明确说明合作事实的陈述不构成违反。 方案B（可接受底线）：将"退出后继续有效"限缩为仅在上海云玡仍为股东期间有效；增加事实性陈述豁免条款。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0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>（二）一般问题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问题五　[起草技术]　多处核心商业数据未填写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条款位置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：全文散布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现行约定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：增资每股单价、起赔额、重大合同金额门槛、后续交割期限和金额、最终截止日等均为占位符。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风险程度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：一般（签署前须全部填写，否则升为重大）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修改建议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：逐项填写所有占位符；特别注意起赔额设置在合理区间（建议认购价款的1%-2%）。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问题六　[商业决策]　全职服务义务无终止机制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条款位置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：第6.09条第一段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现行约定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：须全职服务直至合格IPO或视同清算交易（孰早），IPO未发生则义务无终止时间。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风险程度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：一般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修改建议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：增加绝对时间上限（如"不超过自交割日起10年"）；明确因健康原因无法履行时构成合格离职事由。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问题七　[商业决策]　不得招揽条款范围极宽，覆盖客户和供应商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条款位置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：第6.09条(g)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现行约定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：J不得为竞争者招募、接触公司的客户、代理、供应商等。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风险程度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：一般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修改建议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：将不得招揽限定为公司员工，删除对客户、供应商的扩展。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问题八　[起草技术]　陈述和保证覆盖范围与草创公司实际情况不符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条款位置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：附录L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现行约定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：完整版陈述和保证自公司设立之日起有效，海问注已多次建议简化。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风险程度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：一般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修改建议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：与海问律所协调精简陈述和保证；确保披露附表（附录F）在签署前充分填写。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问题九　[起草技术]　合格IPO定义在本协议未附的股东协议中，审查不完整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条款位置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：第6.09条及多处引用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现行约定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：股东协议（附录E）内容为空，合格IPO关键参数无法核查。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风险程度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：一般（须在SHA审查时重点关注）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修改建议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：SPA签署前同步提供股东协议定稿版本，重点核查IPO估值门槛、上市地选择范围、IPO未完成时J的义务安排。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6"/>
        </w:rPr>
        <w:t>三、合规核查</w:t>
      </w:r>
    </w:p>
    <w:p>
      <w:pPr>
        <w:spacing w:before="20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>（一）已满足合规要求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 xml:space="preserve">1. 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争议解决：SHIAC仲裁，符合中国实践。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 xml:space="preserve">2. 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反腐败条款：覆盖《刑法》、FCPA、英国反贿赂法案。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 xml:space="preserve">3. 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数据保护条款：引用PIPL、《数据安全法》、《网络安全法》，较为完整。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 xml:space="preserve">4. 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出口管制与制裁：明确列明受限主体处理规则。</w:t>
      </w:r>
    </w:p>
    <w:p>
      <w:pPr>
        <w:spacing w:before="20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>（二）存在合规缺陷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 xml:space="preserve">1.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竞业补偿缺失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：无补偿竞业禁止存在被认定部分无效的风险。依据：《劳动合同法》第二十三条 [本地库]。建议：补充竞业补偿条款。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 xml:space="preserve">2.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品牌使用限制永久性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：永久商业限制可能被认定过度，建议设置合理期限。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2"/>
        </w:rPr>
        <w:t xml:space="preserve">3. </w:t>
      </w:r>
      <w:r>
        <w:rPr>
          <w:rFonts w:eastAsia="宋体" w:ascii="Arial" w:hAnsi="Arial"/>
          <w:rFonts w:ascii="宋体" w:hAnsi="宋体"/>
          <w:b/>
          <w:i w:val="0"/>
          <w:color w:val="000000"/>
          <w:sz w:val="22"/>
        </w:rPr>
        <w:t>联合实验室合规前提待核实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：须确认高校方已有意向且合作内容符合保密规定。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6"/>
        </w:rPr>
        <w:t>四、关键时限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404040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/>
                <w:i w:val="0"/>
                <w:color w:val="FFFFFF"/>
                <w:sz w:val="18"/>
              </w:rPr>
              <w:t>时限事项</w:t>
            </w:r>
          </w:p>
        </w:tc>
        <w:tc>
          <w:tcPr>
            <w:tcW w:type="dxa" w:w="2835"/>
            <w:shd w:val="clear" w:color="auto" w:fill="404040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/>
                <w:i w:val="0"/>
                <w:color w:val="FFFFFF"/>
                <w:sz w:val="18"/>
              </w:rPr>
              <w:t>具体要求</w:t>
            </w:r>
          </w:p>
        </w:tc>
        <w:tc>
          <w:tcPr>
            <w:tcW w:type="dxa" w:w="2835"/>
            <w:shd w:val="clear" w:color="auto" w:fill="404040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/>
                <w:i w:val="0"/>
                <w:color w:val="FFFFFF"/>
                <w:sz w:val="18"/>
              </w:rPr>
              <w:t>违反后果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认购价款支付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交割先决条件满足后10个营业日内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认购方拒绝交割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工商变更登记完成</w:t>
            </w:r>
          </w:p>
        </w:tc>
        <w:tc>
          <w:tcPr>
            <w:tcW w:type="dxa" w:w="2835"/>
            <w:shd w:val="clear" w:color="auto" w:fill="F7F7F7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最晚交割日后60日内</w:t>
            </w:r>
          </w:p>
        </w:tc>
        <w:tc>
          <w:tcPr>
            <w:tcW w:type="dxa" w:w="2835"/>
            <w:shd w:val="clear" w:color="auto" w:fill="F7F7F7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违反交割后承诺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股东名册扫描件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最晚交割日后2个营业日内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违反交割义务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陈述和保证赔偿期限</w:t>
            </w:r>
          </w:p>
        </w:tc>
        <w:tc>
          <w:tcPr>
            <w:tcW w:type="dxa" w:w="2835"/>
            <w:shd w:val="clear" w:color="auto" w:fill="F7F7F7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交割后2年内</w:t>
            </w:r>
          </w:p>
        </w:tc>
        <w:tc>
          <w:tcPr>
            <w:tcW w:type="dxa" w:w="2835"/>
            <w:shd w:val="clear" w:color="auto" w:fill="F7F7F7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超期不再受理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最终截止日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协议签署后90日（草稿，待确认）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超期可触发终止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联合实验室设立</w:t>
            </w:r>
          </w:p>
        </w:tc>
        <w:tc>
          <w:tcPr>
            <w:tcW w:type="dxa" w:w="2835"/>
            <w:shd w:val="clear" w:color="auto" w:fill="F7F7F7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交割后9个月内</w:t>
            </w:r>
          </w:p>
        </w:tc>
        <w:tc>
          <w:tcPr>
            <w:tcW w:type="dxa" w:w="2835"/>
            <w:shd w:val="clear" w:color="auto" w:fill="F7F7F7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违反交割后承诺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关键员工院校审批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交割日前完成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eastAsia="宋体" w:ascii="Arial" w:hAnsi="Arial"/>
                <w:rFonts w:ascii="宋体" w:hAnsi="宋体"/>
                <w:b w:val="0"/>
                <w:i w:val="0"/>
                <w:color w:val="000000"/>
                <w:sz w:val="18"/>
              </w:rPr>
              <w:t>影响交割先决条件</w:t>
            </w:r>
          </w:p>
        </w:tc>
      </w:tr>
    </w:tbl>
    <w:p/>
    <w:p>
      <w:pPr>
        <w:spacing w:before="28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6"/>
        </w:rPr>
        <w:t>五、J 须守住的谈判底线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个人资产豁免（第8.02(b)(3)条）：持股处置所得以外的个人财产不受追偿，须完整保留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起赔额（[金额_3]）：建议设置在认购价款的1%-2%区间</w:t>
      </w:r>
    </w:p>
    <w:p>
      <w:pPr>
        <w:spacing w:before="0" w:after="40"/>
        <w:ind w:left="360" w:hanging="180"/>
      </w:pPr>
      <w:r>
        <w:rPr>
          <w:rFonts w:eastAsia="宋体" w:ascii="Arial" w:hAnsi="Arial"/>
          <w:rFonts w:ascii="宋体" w:hAnsi="宋体"/>
          <w:b/>
          <w:i w:val="0"/>
          <w:color w:val="666666"/>
          <w:sz w:val="22"/>
        </w:rPr>
        <w:t xml:space="preserve">•  </w:t>
      </w: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公告须J书面同意（第6.08条）：保留信息披露控制权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80" w:after="80"/>
      </w:pPr>
      <w:r>
        <w:rPr>
          <w:rFonts w:eastAsia="宋体" w:ascii="Arial" w:hAnsi="Arial"/>
          <w:rFonts w:ascii="宋体" w:hAnsi="宋体"/>
          <w:b/>
          <w:i w:val="0"/>
          <w:color w:val="333333"/>
          <w:sz w:val="26"/>
        </w:rPr>
        <w:t>六、审查说明</w:t>
      </w:r>
    </w:p>
    <w:p>
      <w:pPr>
        <w:spacing w:before="0" w:after="80" w:line="324" w:lineRule="auto"/>
      </w:pPr>
      <w:r>
        <w:rPr>
          <w:rFonts w:eastAsia="宋体" w:ascii="Arial" w:hAnsi="Arial"/>
          <w:rFonts w:ascii="宋体" w:hAnsi="宋体"/>
          <w:b w:val="0"/>
          <w:i w:val="0"/>
          <w:color w:val="000000"/>
          <w:sz w:val="22"/>
        </w:rPr>
        <w:t>本意见系就所审查脱敏版本提供的初步法律审查意见，仅供创始人J参考，不构成正式法律意见。本协议尚为草稿，大量核心商业条款未填写，最终审查结论须基于定稿版本。与本协议配套的股东协议（附录E）内容为空，创始人权利的完整评估须等待股东协议定稿后一并审查。如涉及重大商业决策或合同谈判，建议委托具有相应执业资质的律师出具书面法律意见。</w:t>
      </w:r>
    </w:p>
    <w:sectPr w:rsidR="00FC693F" w:rsidRPr="0006063C" w:rsidSect="00034616">
      <w:foot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Arial" w:hAnsi="Arial"/>
        <w:rFonts w:ascii="宋体" w:hAnsi="宋体"/>
        <w:b w:val="0"/>
        <w:i w:val="0"/>
        <w:color w:val="666666"/>
        <w:sz w:val="16"/>
      </w:rPr>
      <w:t>法律审查意见要点（草稿）· Barley-SPA-创始人J · 2026年06月08日 · 本意见不构成正式法律意见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