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14CA" w14:textId="77777777" w:rsidR="0015179B" w:rsidRPr="005B2ECE" w:rsidRDefault="0015791B"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0F014CB" w14:textId="77777777" w:rsidR="0015179B" w:rsidRPr="005B2ECE" w:rsidRDefault="0015179B" w:rsidP="0015179B">
      <w:pPr>
        <w:pStyle w:val="Normal0"/>
        <w:rPr>
          <w:rFonts w:asciiTheme="minorHAnsi" w:hAnsiTheme="minorHAnsi" w:cstheme="minorHAnsi"/>
          <w:sz w:val="24"/>
        </w:rPr>
      </w:pPr>
    </w:p>
    <w:p w14:paraId="00F014CC" w14:textId="77777777" w:rsidR="0015179B" w:rsidRPr="00460607" w:rsidRDefault="0015791B"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0F014CD" w14:textId="77777777" w:rsidR="0015179B" w:rsidRPr="005B2ECE" w:rsidRDefault="0015179B" w:rsidP="0015179B">
      <w:pPr>
        <w:pStyle w:val="Normal0"/>
        <w:rPr>
          <w:rFonts w:asciiTheme="minorHAnsi" w:hAnsiTheme="minorHAnsi" w:cstheme="minorHAnsi"/>
          <w:sz w:val="24"/>
          <w:highlight w:val="yellow"/>
        </w:rPr>
      </w:pPr>
    </w:p>
    <w:p w14:paraId="00F014CE" w14:textId="77777777" w:rsidR="0015179B" w:rsidRPr="0015791B" w:rsidRDefault="0015791B" w:rsidP="0015179B">
      <w:pPr>
        <w:pStyle w:val="Addressstyle"/>
        <w:rPr>
          <w:rFonts w:asciiTheme="minorHAnsi" w:hAnsiTheme="minorHAnsi" w:cstheme="minorHAnsi"/>
          <w:noProof/>
          <w:color w:val="auto"/>
          <w:sz w:val="24"/>
          <w:szCs w:val="24"/>
        </w:rPr>
      </w:pPr>
      <w:r w:rsidRPr="0015791B">
        <w:rPr>
          <w:rFonts w:asciiTheme="minorHAnsi" w:hAnsiTheme="minorHAnsi" w:cstheme="minorHAnsi"/>
          <w:noProof/>
          <w:color w:val="auto"/>
          <w:sz w:val="24"/>
          <w:szCs w:val="24"/>
        </w:rPr>
        <w:t>Sharmans Pest Control &amp; Environmental Services</w:t>
      </w:r>
    </w:p>
    <w:p w14:paraId="3388A97F" w14:textId="77777777" w:rsidR="0015791B" w:rsidRPr="0015791B" w:rsidRDefault="0015791B" w:rsidP="0015791B">
      <w:pPr>
        <w:rPr>
          <w:rFonts w:asciiTheme="minorHAnsi" w:hAnsiTheme="minorHAnsi" w:cstheme="minorHAnsi"/>
          <w:bCs/>
          <w:shd w:val="clear" w:color="auto" w:fill="FFFFFF"/>
        </w:rPr>
      </w:pPr>
      <w:r w:rsidRPr="0015791B">
        <w:rPr>
          <w:rFonts w:asciiTheme="minorHAnsi" w:hAnsiTheme="minorHAnsi" w:cstheme="minorHAnsi"/>
          <w:bCs/>
          <w:shd w:val="clear" w:color="auto" w:fill="FFFFFF"/>
        </w:rPr>
        <w:t xml:space="preserve">1 </w:t>
      </w:r>
      <w:proofErr w:type="spellStart"/>
      <w:r w:rsidRPr="0015791B">
        <w:rPr>
          <w:rFonts w:asciiTheme="minorHAnsi" w:hAnsiTheme="minorHAnsi" w:cstheme="minorHAnsi"/>
          <w:bCs/>
          <w:shd w:val="clear" w:color="auto" w:fill="FFFFFF"/>
        </w:rPr>
        <w:t>Tods</w:t>
      </w:r>
      <w:proofErr w:type="spellEnd"/>
      <w:r w:rsidRPr="0015791B">
        <w:rPr>
          <w:rFonts w:asciiTheme="minorHAnsi" w:hAnsiTheme="minorHAnsi" w:cstheme="minorHAnsi"/>
          <w:bCs/>
          <w:shd w:val="clear" w:color="auto" w:fill="FFFFFF"/>
        </w:rPr>
        <w:t xml:space="preserve"> Terrace </w:t>
      </w:r>
    </w:p>
    <w:p w14:paraId="24416ADB" w14:textId="77777777" w:rsidR="0015791B" w:rsidRPr="0015791B" w:rsidRDefault="0015791B" w:rsidP="0015791B">
      <w:pPr>
        <w:rPr>
          <w:rFonts w:asciiTheme="minorHAnsi" w:hAnsiTheme="minorHAnsi" w:cstheme="minorHAnsi"/>
          <w:bCs/>
          <w:shd w:val="clear" w:color="auto" w:fill="FFFFFF"/>
        </w:rPr>
      </w:pPr>
      <w:r w:rsidRPr="0015791B">
        <w:rPr>
          <w:rFonts w:asciiTheme="minorHAnsi" w:hAnsiTheme="minorHAnsi" w:cstheme="minorHAnsi"/>
          <w:bCs/>
          <w:shd w:val="clear" w:color="auto" w:fill="FFFFFF"/>
        </w:rPr>
        <w:t xml:space="preserve">Oakham </w:t>
      </w:r>
    </w:p>
    <w:p w14:paraId="23133E3B" w14:textId="1CDB4DB9" w:rsidR="0015791B" w:rsidRPr="0015791B" w:rsidRDefault="0015791B" w:rsidP="0015791B">
      <w:pPr>
        <w:rPr>
          <w:rFonts w:asciiTheme="minorHAnsi" w:hAnsiTheme="minorHAnsi" w:cstheme="minorHAnsi"/>
          <w:bCs/>
        </w:rPr>
      </w:pPr>
      <w:r w:rsidRPr="0015791B">
        <w:rPr>
          <w:rFonts w:asciiTheme="minorHAnsi" w:hAnsiTheme="minorHAnsi" w:cstheme="minorHAnsi"/>
          <w:bCs/>
          <w:shd w:val="clear" w:color="auto" w:fill="FFFFFF"/>
        </w:rPr>
        <w:t>LE15 9SL</w:t>
      </w:r>
    </w:p>
    <w:p w14:paraId="0B0C3E8C" w14:textId="77777777" w:rsidR="0015791B" w:rsidRPr="005B2ECE" w:rsidRDefault="0015791B" w:rsidP="0015179B">
      <w:pPr>
        <w:pStyle w:val="Addressstyle"/>
        <w:rPr>
          <w:rFonts w:asciiTheme="minorHAnsi" w:hAnsiTheme="minorHAnsi" w:cstheme="minorHAnsi"/>
          <w:sz w:val="24"/>
          <w:szCs w:val="24"/>
        </w:rPr>
      </w:pPr>
    </w:p>
    <w:p w14:paraId="00F014CF" w14:textId="77777777" w:rsidR="0015179B" w:rsidRPr="005B2ECE" w:rsidRDefault="0015179B" w:rsidP="0015179B">
      <w:pPr>
        <w:pStyle w:val="Addressstyle"/>
        <w:rPr>
          <w:rFonts w:asciiTheme="minorHAnsi" w:hAnsiTheme="minorHAnsi" w:cstheme="minorHAnsi"/>
          <w:sz w:val="24"/>
          <w:szCs w:val="24"/>
        </w:rPr>
      </w:pPr>
    </w:p>
    <w:p w14:paraId="00F014D0" w14:textId="77777777" w:rsidR="0015179B" w:rsidRPr="005B2ECE" w:rsidRDefault="0015179B" w:rsidP="0015179B">
      <w:pPr>
        <w:pStyle w:val="Normal0"/>
        <w:rPr>
          <w:rFonts w:asciiTheme="minorHAnsi" w:hAnsiTheme="minorHAnsi" w:cstheme="minorHAnsi"/>
          <w:sz w:val="24"/>
        </w:rPr>
      </w:pPr>
    </w:p>
    <w:p w14:paraId="00F014D1" w14:textId="77777777" w:rsidR="0015179B" w:rsidRPr="005B2ECE" w:rsidRDefault="0015179B" w:rsidP="0015179B">
      <w:pPr>
        <w:pStyle w:val="Normal0"/>
        <w:rPr>
          <w:rFonts w:asciiTheme="minorHAnsi" w:hAnsiTheme="minorHAnsi" w:cstheme="minorHAnsi"/>
          <w:sz w:val="24"/>
        </w:rPr>
      </w:pPr>
    </w:p>
    <w:p w14:paraId="00F014D2" w14:textId="77777777" w:rsidR="0015179B" w:rsidRPr="005B2ECE" w:rsidRDefault="0015179B" w:rsidP="0015179B">
      <w:pPr>
        <w:pStyle w:val="Normal0"/>
        <w:rPr>
          <w:rFonts w:asciiTheme="minorHAnsi" w:hAnsiTheme="minorHAnsi" w:cstheme="minorHAnsi"/>
          <w:sz w:val="24"/>
        </w:rPr>
      </w:pPr>
    </w:p>
    <w:p w14:paraId="00F014D3" w14:textId="77777777" w:rsidR="0015179B" w:rsidRPr="005B2ECE" w:rsidRDefault="0015791B"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0F014D4" w14:textId="77777777" w:rsidR="0015179B" w:rsidRPr="005B2ECE" w:rsidRDefault="0015179B" w:rsidP="0015179B">
      <w:pPr>
        <w:pStyle w:val="Normal0"/>
        <w:rPr>
          <w:rFonts w:asciiTheme="minorHAnsi" w:hAnsiTheme="minorHAnsi" w:cstheme="minorHAnsi"/>
          <w:sz w:val="24"/>
        </w:rPr>
      </w:pPr>
    </w:p>
    <w:p w14:paraId="00F014D5" w14:textId="77777777" w:rsidR="0015179B" w:rsidRPr="005B2ECE" w:rsidRDefault="0015791B"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262B2B3F"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6126D32C" w14:textId="77777777" w:rsidR="00CE1A4E" w:rsidRDefault="00CE1A4E" w:rsidP="00CE1A4E">
      <w:pPr>
        <w:pStyle w:val="Normal0"/>
        <w:tabs>
          <w:tab w:val="left" w:pos="7371"/>
        </w:tabs>
        <w:jc w:val="both"/>
        <w:rPr>
          <w:rFonts w:asciiTheme="minorHAnsi" w:hAnsiTheme="minorHAnsi" w:cstheme="minorHAnsi"/>
          <w:sz w:val="24"/>
        </w:rPr>
      </w:pPr>
    </w:p>
    <w:p w14:paraId="29801D2C"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32EBE0D3" w14:textId="77777777" w:rsidR="00CE1A4E" w:rsidRDefault="00CE1A4E" w:rsidP="00CE1A4E">
      <w:pPr>
        <w:pStyle w:val="Normal0"/>
        <w:jc w:val="both"/>
        <w:rPr>
          <w:rFonts w:asciiTheme="minorHAnsi" w:hAnsiTheme="minorHAnsi" w:cstheme="minorHAnsi"/>
          <w:sz w:val="24"/>
        </w:rPr>
      </w:pPr>
    </w:p>
    <w:p w14:paraId="1E1CCF34"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5245BB7B" w14:textId="77777777" w:rsidR="00CE1A4E" w:rsidRDefault="00CE1A4E" w:rsidP="00CE1A4E">
      <w:pPr>
        <w:pStyle w:val="Normal0"/>
        <w:jc w:val="both"/>
        <w:rPr>
          <w:rFonts w:asciiTheme="minorHAnsi" w:hAnsiTheme="minorHAnsi" w:cstheme="minorHAnsi"/>
          <w:sz w:val="24"/>
        </w:rPr>
      </w:pPr>
    </w:p>
    <w:p w14:paraId="5836435C" w14:textId="77777777" w:rsidR="00CE1A4E" w:rsidRDefault="00CE1A4E" w:rsidP="00CE1A4E">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34C30CEB" w14:textId="77777777" w:rsidR="00CE1A4E" w:rsidRDefault="00CE1A4E" w:rsidP="00CE1A4E">
      <w:pPr>
        <w:pStyle w:val="Normal0"/>
        <w:jc w:val="both"/>
        <w:rPr>
          <w:rFonts w:asciiTheme="minorHAnsi" w:hAnsiTheme="minorHAnsi" w:cstheme="minorHAnsi"/>
          <w:sz w:val="24"/>
        </w:rPr>
      </w:pPr>
    </w:p>
    <w:p w14:paraId="39D36DCF" w14:textId="77777777" w:rsidR="00CE1A4E" w:rsidRDefault="00CE1A4E" w:rsidP="00CE1A4E">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7F288140" w14:textId="77777777" w:rsidR="00CE1A4E" w:rsidRDefault="00CE1A4E" w:rsidP="00CE1A4E">
      <w:pPr>
        <w:pStyle w:val="Normal0"/>
        <w:jc w:val="both"/>
        <w:rPr>
          <w:rFonts w:asciiTheme="minorHAnsi" w:hAnsiTheme="minorHAnsi" w:cstheme="minorHAnsi"/>
          <w:sz w:val="24"/>
        </w:rPr>
      </w:pPr>
    </w:p>
    <w:p w14:paraId="4FF37966"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4A850F5A" w14:textId="77777777" w:rsidR="00CE1A4E" w:rsidRDefault="00CE1A4E" w:rsidP="00CE1A4E">
      <w:pPr>
        <w:pStyle w:val="Normal0"/>
        <w:jc w:val="both"/>
        <w:rPr>
          <w:rFonts w:asciiTheme="minorHAnsi" w:hAnsiTheme="minorHAnsi" w:cstheme="minorHAnsi"/>
          <w:sz w:val="24"/>
        </w:rPr>
      </w:pPr>
    </w:p>
    <w:p w14:paraId="6DAACC9B" w14:textId="77777777" w:rsidR="00CE1A4E" w:rsidRDefault="00CE1A4E" w:rsidP="00CE1A4E">
      <w:pPr>
        <w:pStyle w:val="Normal0"/>
        <w:jc w:val="both"/>
        <w:rPr>
          <w:rStyle w:val="Hyperlink"/>
        </w:rPr>
      </w:pPr>
      <w:r>
        <w:rPr>
          <w:rFonts w:asciiTheme="minorHAnsi" w:hAnsiTheme="minorHAnsi" w:cstheme="minorHAnsi"/>
          <w:sz w:val="24"/>
        </w:rPr>
        <w:t>The following documents are enclosed:</w:t>
      </w:r>
    </w:p>
    <w:p w14:paraId="4C783923" w14:textId="77777777" w:rsidR="00CE1A4E" w:rsidRDefault="00CE1A4E" w:rsidP="00CE1A4E">
      <w:pPr>
        <w:pStyle w:val="Normal0"/>
        <w:jc w:val="both"/>
      </w:pPr>
    </w:p>
    <w:p w14:paraId="3B34E408"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71CEB75"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2B81DE91"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30442C48"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2638432" w14:textId="77777777" w:rsidR="00CE1A4E" w:rsidRDefault="00CE1A4E" w:rsidP="00CE1A4E">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7ED35B49" w14:textId="77777777" w:rsidR="00CE1A4E" w:rsidRDefault="00CE1A4E" w:rsidP="00CE1A4E">
      <w:pPr>
        <w:pStyle w:val="Normal0"/>
        <w:jc w:val="both"/>
        <w:rPr>
          <w:rFonts w:asciiTheme="minorHAnsi" w:hAnsiTheme="minorHAnsi" w:cstheme="minorHAnsi"/>
          <w:spacing w:val="-3"/>
          <w:sz w:val="24"/>
          <w:lang w:val="en-US"/>
        </w:rPr>
      </w:pPr>
    </w:p>
    <w:p w14:paraId="0D61F9A8"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sidRPr="0015791B">
        <w:rPr>
          <w:rStyle w:val="Hyperlink"/>
          <w:rFonts w:asciiTheme="minorHAnsi" w:hAnsiTheme="minorHAnsi" w:cstheme="minorHAnsi"/>
          <w:color w:val="000000" w:themeColor="text1"/>
          <w:sz w:val="24"/>
          <w:u w:val="none"/>
        </w:rPr>
        <w:t>prior to the decision date without further notice.</w:t>
      </w:r>
    </w:p>
    <w:p w14:paraId="02B35882" w14:textId="77777777" w:rsidR="00CE1A4E" w:rsidRDefault="00CE1A4E" w:rsidP="00CE1A4E">
      <w:pPr>
        <w:pStyle w:val="Normal0"/>
        <w:jc w:val="both"/>
        <w:rPr>
          <w:rFonts w:asciiTheme="minorHAnsi" w:hAnsiTheme="minorHAnsi" w:cstheme="minorHAnsi"/>
          <w:sz w:val="24"/>
        </w:rPr>
      </w:pPr>
    </w:p>
    <w:p w14:paraId="355728BA"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BC23592"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148E1641"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9F88AF7"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3EF7E6EB" w14:textId="77777777" w:rsidR="00CE1A4E" w:rsidRDefault="00CE1A4E" w:rsidP="00CE1A4E">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4762A042" w14:textId="77777777" w:rsidR="00CE1A4E" w:rsidRDefault="00CE1A4E" w:rsidP="00CE1A4E">
      <w:pPr>
        <w:pStyle w:val="Normal0"/>
        <w:jc w:val="both"/>
        <w:rPr>
          <w:rFonts w:asciiTheme="minorHAnsi" w:hAnsiTheme="minorHAnsi" w:cstheme="minorHAnsi"/>
          <w:sz w:val="24"/>
        </w:rPr>
      </w:pPr>
    </w:p>
    <w:p w14:paraId="2DAAEA7B" w14:textId="77777777" w:rsidR="00CE1A4E" w:rsidRDefault="00CE1A4E" w:rsidP="00CE1A4E">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10F236BF" w14:textId="77777777" w:rsidR="00CE1A4E" w:rsidRDefault="00CE1A4E" w:rsidP="00CE1A4E">
      <w:pPr>
        <w:pStyle w:val="Normal0"/>
        <w:tabs>
          <w:tab w:val="left" w:pos="7371"/>
        </w:tabs>
        <w:jc w:val="both"/>
        <w:rPr>
          <w:rFonts w:asciiTheme="minorHAnsi" w:hAnsiTheme="minorHAnsi" w:cstheme="minorHAnsi"/>
          <w:sz w:val="24"/>
        </w:rPr>
      </w:pPr>
    </w:p>
    <w:p w14:paraId="372AEA7F" w14:textId="77777777" w:rsidR="00CE1A4E" w:rsidRDefault="00CE1A4E" w:rsidP="00CE1A4E">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472CAF4" w14:textId="77777777" w:rsidR="00CE1A4E" w:rsidRDefault="00CE1A4E" w:rsidP="00CE1A4E">
      <w:pPr>
        <w:pStyle w:val="Normal0"/>
        <w:ind w:left="720"/>
        <w:contextualSpacing/>
        <w:jc w:val="both"/>
        <w:rPr>
          <w:rFonts w:asciiTheme="minorHAnsi" w:hAnsiTheme="minorHAnsi" w:cstheme="minorHAnsi"/>
          <w:sz w:val="24"/>
        </w:rPr>
      </w:pPr>
    </w:p>
    <w:p w14:paraId="42E0AAB0" w14:textId="77777777" w:rsidR="00CE1A4E" w:rsidRDefault="00CE1A4E" w:rsidP="00CE1A4E">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4000F6AF" w14:textId="77777777" w:rsidR="00CE1A4E" w:rsidRDefault="00CE1A4E" w:rsidP="00CE1A4E">
      <w:pPr>
        <w:pStyle w:val="Normal0"/>
        <w:jc w:val="both"/>
        <w:rPr>
          <w:rFonts w:asciiTheme="minorHAnsi" w:hAnsiTheme="minorHAnsi" w:cstheme="minorHAnsi"/>
          <w:b/>
          <w:sz w:val="24"/>
        </w:rPr>
      </w:pPr>
    </w:p>
    <w:p w14:paraId="00045BC3" w14:textId="77777777" w:rsidR="00CE1A4E" w:rsidRDefault="00CE1A4E" w:rsidP="00CE1A4E">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241068E" w14:textId="77777777" w:rsidR="00CE1A4E" w:rsidRDefault="00CE1A4E" w:rsidP="00CE1A4E">
      <w:pPr>
        <w:pStyle w:val="Normal0"/>
        <w:jc w:val="both"/>
        <w:rPr>
          <w:rFonts w:asciiTheme="minorHAnsi" w:hAnsiTheme="minorHAnsi" w:cstheme="minorHAnsi"/>
          <w:sz w:val="24"/>
        </w:rPr>
      </w:pPr>
    </w:p>
    <w:p w14:paraId="53A550B3"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0815C5F0" w14:textId="77777777" w:rsidR="00CE1A4E" w:rsidRDefault="00CE1A4E" w:rsidP="00CE1A4E">
      <w:pPr>
        <w:pStyle w:val="Normal0"/>
        <w:jc w:val="both"/>
        <w:rPr>
          <w:rFonts w:asciiTheme="minorHAnsi" w:eastAsia="Calibri" w:hAnsiTheme="minorHAnsi" w:cstheme="minorHAnsi"/>
          <w:spacing w:val="-3"/>
          <w:sz w:val="24"/>
        </w:rPr>
      </w:pPr>
    </w:p>
    <w:p w14:paraId="465732AC" w14:textId="77777777" w:rsidR="00CE1A4E" w:rsidRDefault="00CE1A4E" w:rsidP="00CE1A4E">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A3FC9F4" w14:textId="77777777" w:rsidR="00CE1A4E" w:rsidRDefault="00CE1A4E" w:rsidP="00CE1A4E">
      <w:pPr>
        <w:pStyle w:val="Normal0"/>
        <w:jc w:val="both"/>
        <w:rPr>
          <w:rFonts w:asciiTheme="minorHAnsi" w:hAnsiTheme="minorHAnsi" w:cstheme="minorHAnsi"/>
          <w:sz w:val="24"/>
        </w:rPr>
      </w:pPr>
    </w:p>
    <w:p w14:paraId="1C334479"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75D69D96"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p>
    <w:p w14:paraId="45687635"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538BACB0" w14:textId="77777777" w:rsidR="00CE1A4E" w:rsidRDefault="00CE1A4E" w:rsidP="00CE1A4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306CC92F" w14:textId="77777777" w:rsidR="00CE1A4E" w:rsidRDefault="00CE1A4E" w:rsidP="00CE1A4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586EE378"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311952CE"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p>
    <w:p w14:paraId="338A6501"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5F51ABBB"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color w:val="000000"/>
          <w:sz w:val="24"/>
        </w:rPr>
      </w:pPr>
    </w:p>
    <w:p w14:paraId="5B361300"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p>
    <w:p w14:paraId="4483E0AF" w14:textId="77777777" w:rsidR="00CE1A4E" w:rsidRDefault="00CE1A4E" w:rsidP="00CE1A4E">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124F72D1" w14:textId="77777777" w:rsidR="00CE1A4E" w:rsidRDefault="00CE1A4E" w:rsidP="00CE1A4E">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0CF47C38"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color w:val="000000"/>
          <w:sz w:val="24"/>
        </w:rPr>
      </w:pPr>
    </w:p>
    <w:p w14:paraId="1A4E1DFA" w14:textId="77777777" w:rsidR="00CE1A4E" w:rsidRDefault="00CE1A4E" w:rsidP="00CE1A4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41E0CB0C" w14:textId="77777777" w:rsidR="00CE1A4E" w:rsidRDefault="00CE1A4E" w:rsidP="00CE1A4E">
      <w:pPr>
        <w:autoSpaceDE w:val="0"/>
        <w:autoSpaceDN w:val="0"/>
        <w:ind w:left="720"/>
        <w:rPr>
          <w:rFonts w:asciiTheme="minorHAnsi" w:hAnsiTheme="minorHAnsi" w:cstheme="minorHAnsi"/>
          <w:color w:val="000000"/>
        </w:rPr>
      </w:pPr>
    </w:p>
    <w:p w14:paraId="67DA7348" w14:textId="77777777" w:rsidR="00CE1A4E" w:rsidRDefault="00CE1A4E" w:rsidP="00CE1A4E">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42858EE3" w14:textId="77777777" w:rsidR="00CE1A4E" w:rsidRDefault="00CE1A4E" w:rsidP="00CE1A4E">
      <w:pPr>
        <w:pStyle w:val="Normal0"/>
        <w:jc w:val="both"/>
        <w:rPr>
          <w:rFonts w:asciiTheme="minorHAnsi" w:hAnsiTheme="minorHAnsi" w:cstheme="minorHAnsi"/>
          <w:sz w:val="24"/>
        </w:rPr>
      </w:pPr>
    </w:p>
    <w:p w14:paraId="18C76C5D" w14:textId="77777777" w:rsidR="00CE1A4E" w:rsidRDefault="00CE1A4E" w:rsidP="00CE1A4E">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0F01505" w14:textId="77777777" w:rsidR="006C6B42" w:rsidRPr="005B2ECE" w:rsidRDefault="006C6B42" w:rsidP="006C6B42">
      <w:pPr>
        <w:pStyle w:val="Normal0"/>
        <w:tabs>
          <w:tab w:val="left" w:pos="7371"/>
        </w:tabs>
        <w:jc w:val="both"/>
        <w:rPr>
          <w:rFonts w:asciiTheme="minorHAnsi" w:hAnsiTheme="minorHAnsi" w:cstheme="minorHAnsi"/>
          <w:sz w:val="24"/>
        </w:rPr>
      </w:pPr>
    </w:p>
    <w:p w14:paraId="00F01506" w14:textId="77777777" w:rsidR="0015179B" w:rsidRPr="005B2ECE" w:rsidRDefault="0015791B"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0F01507" w14:textId="77777777" w:rsidR="0015179B" w:rsidRPr="005B2ECE" w:rsidRDefault="0015179B" w:rsidP="0015179B">
      <w:pPr>
        <w:pStyle w:val="BodyText"/>
        <w:rPr>
          <w:rFonts w:asciiTheme="minorHAnsi" w:hAnsiTheme="minorHAnsi" w:cstheme="minorHAnsi"/>
          <w:sz w:val="24"/>
        </w:rPr>
      </w:pPr>
    </w:p>
    <w:p w14:paraId="00F01508" w14:textId="77777777" w:rsidR="00A97161" w:rsidRPr="005B2ECE" w:rsidRDefault="0015791B"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0F0150C" wp14:editId="00F0150D">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0F01509" w14:textId="77777777" w:rsidR="0015179B" w:rsidRPr="005B2ECE" w:rsidRDefault="0015791B"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0F0150A" w14:textId="77777777" w:rsidR="00AF1A16" w:rsidRPr="005B2ECE" w:rsidRDefault="0015791B"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0F0150B" w14:textId="77777777" w:rsidR="00A77B3E" w:rsidRDefault="00A77B3E"/>
    <w:sectPr w:rsidR="00A77B3E" w:rsidSect="00FC74F0">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B82F" w14:textId="77777777" w:rsidR="00FC74F0" w:rsidRDefault="00FC74F0">
      <w:r>
        <w:separator/>
      </w:r>
    </w:p>
  </w:endnote>
  <w:endnote w:type="continuationSeparator" w:id="0">
    <w:p w14:paraId="118E50C5" w14:textId="77777777" w:rsidR="00FC74F0" w:rsidRDefault="00FC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12"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13" w14:textId="77777777" w:rsidR="00FC3B18" w:rsidRPr="00FC3B18" w:rsidRDefault="0015791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0F01514" w14:textId="77777777" w:rsidR="00FC3B18" w:rsidRPr="00FC3B18" w:rsidRDefault="0015791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 xml:space="preserve">Office: 007, Northlight Parade, </w:t>
    </w:r>
    <w:r w:rsidRPr="00FC3B18">
      <w:rPr>
        <w:rFonts w:ascii="Arial" w:eastAsiaTheme="minorEastAsia" w:hAnsi="Arial" w:cs="Arial"/>
        <w:noProof/>
        <w:color w:val="000000" w:themeColor="text1"/>
        <w:sz w:val="16"/>
        <w:szCs w:val="16"/>
        <w:lang w:val="en-GB" w:eastAsia="en-GB"/>
      </w:rPr>
      <w:t>Pendle BB9 5EG</w:t>
    </w:r>
  </w:p>
  <w:p w14:paraId="00F01515" w14:textId="77777777" w:rsidR="00FC3B18" w:rsidRPr="00FC3B18" w:rsidRDefault="0015791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0F01516" w14:textId="77777777" w:rsidR="00B1097F" w:rsidRPr="00B3747B" w:rsidRDefault="0015791B"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0F01517"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1A" w14:textId="77777777" w:rsidR="00FC3B18" w:rsidRPr="00C93FA4" w:rsidRDefault="0015791B"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0F0151B" w14:textId="77777777" w:rsidR="00FC3B18" w:rsidRPr="00C93FA4" w:rsidRDefault="0015791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0F0151C" w14:textId="77777777" w:rsidR="00FC3B18" w:rsidRPr="00C93FA4" w:rsidRDefault="0015791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0F0151D" w14:textId="77777777" w:rsidR="00FC3B18" w:rsidRPr="00C93FA4" w:rsidRDefault="0015791B"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0F0151E"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5F1A" w14:textId="77777777" w:rsidR="00FC74F0" w:rsidRDefault="00FC74F0">
      <w:r>
        <w:separator/>
      </w:r>
    </w:p>
  </w:footnote>
  <w:footnote w:type="continuationSeparator" w:id="0">
    <w:p w14:paraId="2C3393EB" w14:textId="77777777" w:rsidR="00FC74F0" w:rsidRDefault="00FC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0E" w14:textId="77777777" w:rsidR="00B1097F" w:rsidRDefault="0015791B">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0F0150F"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10" w14:textId="650B3C9F" w:rsidR="00FC3B18" w:rsidRPr="00FC3B18" w:rsidRDefault="0015791B" w:rsidP="00FC3B18">
    <w:pPr>
      <w:widowControl w:val="0"/>
      <w:autoSpaceDE w:val="0"/>
      <w:autoSpaceDN w:val="0"/>
      <w:spacing w:before="98"/>
      <w:ind w:right="100"/>
      <w:jc w:val="right"/>
      <w:rPr>
        <w:rFonts w:ascii="Noto Sans" w:hAnsi="Arimo" w:cs="Arimo"/>
        <w:sz w:val="37"/>
        <w:szCs w:val="22"/>
      </w:rPr>
    </w:pPr>
    <w:r>
      <w:rPr>
        <w:noProof/>
      </w:rPr>
      <w:pict w14:anchorId="15971234">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0F01511"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1518" w14:textId="393BF234" w:rsidR="00FC3B18" w:rsidRPr="00FC3B18" w:rsidRDefault="0015791B" w:rsidP="00FC3B18">
    <w:pPr>
      <w:widowControl w:val="0"/>
      <w:autoSpaceDE w:val="0"/>
      <w:autoSpaceDN w:val="0"/>
      <w:spacing w:before="98"/>
      <w:ind w:right="100"/>
      <w:jc w:val="right"/>
      <w:rPr>
        <w:rFonts w:ascii="Noto Sans" w:hAnsi="Arimo" w:cs="Arimo"/>
        <w:sz w:val="37"/>
        <w:szCs w:val="22"/>
      </w:rPr>
    </w:pPr>
    <w:r>
      <w:rPr>
        <w:noProof/>
      </w:rPr>
      <w:pict w14:anchorId="3DFB7844">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0F01519"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10366708">
      <w:start w:val="1"/>
      <w:numFmt w:val="bullet"/>
      <w:lvlText w:val=""/>
      <w:lvlJc w:val="left"/>
      <w:pPr>
        <w:ind w:left="720" w:hanging="360"/>
      </w:pPr>
      <w:rPr>
        <w:rFonts w:ascii="Symbol" w:hAnsi="Symbol" w:hint="default"/>
      </w:rPr>
    </w:lvl>
    <w:lvl w:ilvl="1" w:tplc="33AC9E1C" w:tentative="1">
      <w:start w:val="1"/>
      <w:numFmt w:val="bullet"/>
      <w:lvlText w:val="o"/>
      <w:lvlJc w:val="left"/>
      <w:pPr>
        <w:ind w:left="1440" w:hanging="360"/>
      </w:pPr>
      <w:rPr>
        <w:rFonts w:ascii="Courier New" w:hAnsi="Courier New" w:cs="Courier New" w:hint="default"/>
      </w:rPr>
    </w:lvl>
    <w:lvl w:ilvl="2" w:tplc="176CED74" w:tentative="1">
      <w:start w:val="1"/>
      <w:numFmt w:val="bullet"/>
      <w:lvlText w:val=""/>
      <w:lvlJc w:val="left"/>
      <w:pPr>
        <w:ind w:left="2160" w:hanging="360"/>
      </w:pPr>
      <w:rPr>
        <w:rFonts w:ascii="Wingdings" w:hAnsi="Wingdings" w:hint="default"/>
      </w:rPr>
    </w:lvl>
    <w:lvl w:ilvl="3" w:tplc="2C46CA2A" w:tentative="1">
      <w:start w:val="1"/>
      <w:numFmt w:val="bullet"/>
      <w:lvlText w:val=""/>
      <w:lvlJc w:val="left"/>
      <w:pPr>
        <w:ind w:left="2880" w:hanging="360"/>
      </w:pPr>
      <w:rPr>
        <w:rFonts w:ascii="Symbol" w:hAnsi="Symbol" w:hint="default"/>
      </w:rPr>
    </w:lvl>
    <w:lvl w:ilvl="4" w:tplc="464C653C" w:tentative="1">
      <w:start w:val="1"/>
      <w:numFmt w:val="bullet"/>
      <w:lvlText w:val="o"/>
      <w:lvlJc w:val="left"/>
      <w:pPr>
        <w:ind w:left="3600" w:hanging="360"/>
      </w:pPr>
      <w:rPr>
        <w:rFonts w:ascii="Courier New" w:hAnsi="Courier New" w:cs="Courier New" w:hint="default"/>
      </w:rPr>
    </w:lvl>
    <w:lvl w:ilvl="5" w:tplc="285A70EA" w:tentative="1">
      <w:start w:val="1"/>
      <w:numFmt w:val="bullet"/>
      <w:lvlText w:val=""/>
      <w:lvlJc w:val="left"/>
      <w:pPr>
        <w:ind w:left="4320" w:hanging="360"/>
      </w:pPr>
      <w:rPr>
        <w:rFonts w:ascii="Wingdings" w:hAnsi="Wingdings" w:hint="default"/>
      </w:rPr>
    </w:lvl>
    <w:lvl w:ilvl="6" w:tplc="591025D4" w:tentative="1">
      <w:start w:val="1"/>
      <w:numFmt w:val="bullet"/>
      <w:lvlText w:val=""/>
      <w:lvlJc w:val="left"/>
      <w:pPr>
        <w:ind w:left="5040" w:hanging="360"/>
      </w:pPr>
      <w:rPr>
        <w:rFonts w:ascii="Symbol" w:hAnsi="Symbol" w:hint="default"/>
      </w:rPr>
    </w:lvl>
    <w:lvl w:ilvl="7" w:tplc="A70C0374" w:tentative="1">
      <w:start w:val="1"/>
      <w:numFmt w:val="bullet"/>
      <w:lvlText w:val="o"/>
      <w:lvlJc w:val="left"/>
      <w:pPr>
        <w:ind w:left="5760" w:hanging="360"/>
      </w:pPr>
      <w:rPr>
        <w:rFonts w:ascii="Courier New" w:hAnsi="Courier New" w:cs="Courier New" w:hint="default"/>
      </w:rPr>
    </w:lvl>
    <w:lvl w:ilvl="8" w:tplc="B88092D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41583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15791B"/>
    <w:rsid w:val="00460607"/>
    <w:rsid w:val="005B2ECE"/>
    <w:rsid w:val="006C6B42"/>
    <w:rsid w:val="00A46630"/>
    <w:rsid w:val="00A77B3E"/>
    <w:rsid w:val="00A97161"/>
    <w:rsid w:val="00AF1A16"/>
    <w:rsid w:val="00B1097F"/>
    <w:rsid w:val="00B3747B"/>
    <w:rsid w:val="00BC625D"/>
    <w:rsid w:val="00C93FA4"/>
    <w:rsid w:val="00CA2A55"/>
    <w:rsid w:val="00CE1A4E"/>
    <w:rsid w:val="00D64F0B"/>
    <w:rsid w:val="00FC3B18"/>
    <w:rsid w:val="00FC74F0"/>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0F014CA"/>
  <w15:docId w15:val="{DEDD4E04-249C-4E01-BBFA-4CEE1349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93782">
      <w:bodyDiv w:val="1"/>
      <w:marLeft w:val="0"/>
      <w:marRight w:val="0"/>
      <w:marTop w:val="0"/>
      <w:marBottom w:val="0"/>
      <w:divBdr>
        <w:top w:val="none" w:sz="0" w:space="0" w:color="auto"/>
        <w:left w:val="none" w:sz="0" w:space="0" w:color="auto"/>
        <w:bottom w:val="none" w:sz="0" w:space="0" w:color="auto"/>
        <w:right w:val="none" w:sz="0" w:space="0" w:color="auto"/>
      </w:divBdr>
    </w:div>
    <w:div w:id="200731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297DA-CCD5-4FEE-8B6E-F9296185BD84}">
  <ds:schemaRefs>
    <ds:schemaRef ds:uri="http://schemas.microsoft.com/sharepoint/v3/contenttype/forms"/>
  </ds:schemaRefs>
</ds:datastoreItem>
</file>

<file path=customXml/itemProps2.xml><?xml version="1.0" encoding="utf-8"?>
<ds:datastoreItem xmlns:ds="http://schemas.openxmlformats.org/officeDocument/2006/customXml" ds:itemID="{6F4D5D25-BCF8-410F-BE18-91318AFFD0A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128166C0-F2E5-4C4F-9F4B-A27CB68A3460}"/>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dcterms:created xsi:type="dcterms:W3CDTF">2024-01-08T13:44:00Z</dcterms:created>
  <dcterms:modified xsi:type="dcterms:W3CDTF">2024-01-08T13:52:00Z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