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TRINITY HOUSE</w:t>
            </w:r>
            <w:r w:rsidRPr="00EA05B4" w:rsidR="009B1622">
              <w:rPr>
                <w:noProof/>
                <w:szCs w:val="20"/>
              </w:rPr>
              <w:t xml:space="preserve"> CARE LIMITED</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bgs$vX7YAC</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29F9A75-5F82-4474-9D00-B73BD78F5579}"/>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