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11/02/2026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the schedule for the second workshop</w:t>
        <w:br/>
        <w:t>• Agree on the approach to manage workload implications</w:t>
        <w:br/>
        <w:t>• Review the IA issues and rollout plan</w:t>
        <w:br/>
        <w:t>• Decide on the timing for further work discussions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Anais Westergaard - (AW)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Alexander Humphries - (AH)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Tom Nickelson - (TN)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Workshop Scheduling</w:t>
        <w:br/>
        <w:t>• A second workshop is confirmed for this week to address previous session overruns.</w:t>
        <w:br/>
        <w:t>• HT to manage the agenda and participants for the upcoming workshop.</w:t>
        <w:br/>
        <w:br/>
        <w:t>IA Issues Update</w:t>
        <w:br/>
        <w:t>• TN reported on discussions with Sarah regarding IA issues; rollout will occur in phases, starting with new customer registration.</w:t>
        <w:br/>
        <w:t>• AH raised concerns about the ambitious timeline and the need for dual running with Syberska.</w:t>
        <w:br/>
        <w:br/>
        <w:t>Contract Management</w:t>
        <w:br/>
        <w:t>• AH indicated a need for a short extension of the contract; this should be handled discreetly due to sensitive information.</w:t>
        <w:br/>
        <w:br/>
        <w:t>Leave Planning</w:t>
        <w:br/>
        <w:t>• TN will be on leave next week; further discussions on upcoming work should be postponed until his return.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Confirm workshop participants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 to finalize and confirm participants for the second workshop scheduled this week.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Manage IA rollout discussions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AH to monitor the rollout plan and address any concerns regarding timelines and dual running with Syberska.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AH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