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progress on risk library and next steps</w:t>
        <w:br/>
        <w:t>• Agree on access to incident management policies</w:t>
        <w:br/>
        <w:t>• Review performance metrics and vendor contributions</w:t>
        <w:br/>
        <w:t>• Decide on follow-up session scheduling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Risk Library Progress</w:t>
        <w:br/>
        <w:t>• Key trends and risks captured from sessions with Tom and Rob; further categorization of risks is required.</w:t>
        <w:br/>
        <w:t>• Joint approach needed for risk rating due to challenges in assessing frequency of occurrence.</w:t>
        <w:br/>
        <w:br/>
        <w:t>Incident Management Access</w:t>
        <w:br/>
        <w:t>• HT is following up on access to the main incident policy; this remains outstanding.</w:t>
        <w:br/>
        <w:br/>
        <w:t>Performance Metrics Evaluation</w:t>
        <w:br/>
        <w:t>• TJ is assisting Tom with SQL address matching issues; a quick win is anticipated from this collaboration.</w:t>
        <w:br/>
        <w:t>• A follow-up session is needed to discuss performance metrics and vendor contributions.</w:t>
        <w:br/>
        <w:br/>
        <w:t>Meeting Scheduling</w:t>
        <w:br/>
        <w:t>• Tomorrow's meeting may be repurposed to focus on the risk library if time is short; DM will coordinate with attendees.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Schedule follow-up on risk ratings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to arrange a meeting with SW and CH to categorize identified risks and discuss ratings.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Provide access to incident policies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 to ensure access to the main incident policy is granted to CH.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