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progress of the risk library and identify any gaps.</w:t>
        <w:br/>
        <w:t>• Agree on the next steps for incident management gap analysis.</w:t>
        <w:br/>
        <w:t>• Review performance metrics and vendor contributions.</w:t>
        <w:br/>
        <w:t>• Decide on follow-up sessions for risk rating and SQL support.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Risk Library Progress</w:t>
        <w:br/>
        <w:t>• Key trends and risks have been captured from sessions with Tom and Rob, aiding the risk library development.</w:t>
        <w:br/>
        <w:t>• A follow-up meeting is scheduled to categorize risk ratings and discuss the risk library further.</w:t>
        <w:br/>
        <w:br/>
        <w:t>Incident Management Gap Analysis</w:t>
        <w:br/>
        <w:t>• HT is awaiting access to the main incident policy to complete the gap analysis; follow-up is in progress.</w:t>
        <w:br/>
        <w:t>• Discussion on major incident policies is necessary to align communication strategies.</w:t>
        <w:br/>
        <w:br/>
        <w:t>Performance Metrics Review</w:t>
        <w:br/>
        <w:t>• TJ is assisting Tom with SQL issues related to address matching; a quick resolution is anticipated.</w:t>
        <w:br/>
        <w:t>• A follow-up session with Matt is needed to discuss performance metrics and any additional requirements.</w:t>
        <w:br/>
        <w:br/>
        <w:t>Meeting Repurposing</w:t>
        <w:br/>
        <w:t>• DM proposed repurposing the next meeting to focus on the risk library if time is limited; attendees agreed to extend the meeting duration.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risk library follow-up meeting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finalize the meeting with SW and CH to discuss risk ratings and library updates.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Assist with SQL address matching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 to provide support to Tom regarding SQL issues for address matching.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