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860bde3506eac71a4fab55ecfefdd16057cb80"/>
    <w:p>
      <w:pPr>
        <w:pStyle w:val="Heading1"/>
      </w:pPr>
      <w:r>
        <w:t xml:space="preserve">Continuing Education Mock 10 — Point Categories</w:t>
      </w:r>
    </w:p>
    <w:p>
      <w:pPr>
        <w:pStyle w:val="FirstParagraph"/>
      </w:pPr>
      <w:r>
        <w:t xml:space="preserve">Instructor review copy. Ten multiple-choice questions. Correct options are marked with five plus signs, and each item has one continuous Feedback paragraph that identifies the correct response and explains why each of the other three choices is incorrect without relying on option letters.</w:t>
      </w:r>
    </w:p>
    <w:p>
      <w:pPr>
        <w:pStyle w:val="Compact"/>
        <w:numPr>
          <w:ilvl w:val="0"/>
          <w:numId w:val="1001"/>
        </w:numPr>
      </w:pPr>
      <w:r>
        <w:t xml:space="preserve">What does Ganshu UB18 demonstrate about point classification?</w:t>
      </w:r>
    </w:p>
    <w:p>
      <w:pPr>
        <w:pStyle w:val="FirstParagraph"/>
      </w:pPr>
      <w:r>
        <w:t xml:space="preserve">A) It belongs to the Liver Channel because it is associated with Liver.</w:t>
      </w:r>
    </w:p>
    <w:p>
      <w:pPr>
        <w:pStyle w:val="BodyText"/>
      </w:pPr>
      <w:r>
        <w:t xml:space="preserve">B) It belongs to the Urinary Bladder Channel and is the Back-Shu point associated with Liver. +++++</w:t>
      </w:r>
    </w:p>
    <w:p>
      <w:pPr>
        <w:pStyle w:val="BodyText"/>
      </w:pPr>
      <w:r>
        <w:t xml:space="preserve">C) A point can belong to only one traditional category.</w:t>
      </w:r>
    </w:p>
    <w:p>
      <w:pPr>
        <w:pStyle w:val="BodyText"/>
      </w:pPr>
      <w:r>
        <w:t xml:space="preserve">D) Back-Shu and channel membership are interchangeable labels.</w:t>
      </w:r>
    </w:p>
    <w:p>
      <w:pPr>
        <w:pStyle w:val="BodyText"/>
      </w:pPr>
      <w:r>
        <w:t xml:space="preserve">Feedback: UB18 belongs to the Urinary Bladder Channel while its Back-Shu correspondence is associated with Liver; a point can retain its channel membership while also having another traditional classification or correspondence. Why are the other options incorrect? It belongs to the Liver Channel because it is associated with Liver. — Association with an organ does not transfer a point to that organ's channel; UB18 remains a point of the Urinary Bladder Channel. A point can belong to only one traditional category. — Acupuncture points may have several classifications or relationships, so channel membership does not prevent an additional Back-Shu, Yuan-Source, Luo-Connecting or other classification. Back-Shu and channel membership are interchangeable labels. — Back-Shu identifies an organ-associated category, while channel membership identifies the channel on which the point is located.</w:t>
      </w:r>
    </w:p>
    <w:p>
      <w:pPr>
        <w:pStyle w:val="Compact"/>
        <w:numPr>
          <w:ilvl w:val="0"/>
          <w:numId w:val="1002"/>
        </w:numPr>
      </w:pPr>
      <w:r>
        <w:t xml:space="preserve">Why should Front-Mu and Back-Shu not be treated as interchangeable categories?</w:t>
      </w:r>
    </w:p>
    <w:p>
      <w:pPr>
        <w:pStyle w:val="FirstParagraph"/>
      </w:pPr>
      <w:r>
        <w:t xml:space="preserve">A) They organize organ correspondences from different body regions and must be interpreted in their own contexts. +++++</w:t>
      </w:r>
    </w:p>
    <w:p>
      <w:pPr>
        <w:pStyle w:val="BodyText"/>
      </w:pPr>
      <w:r>
        <w:t xml:space="preserve">B) Only Front-Mu points have organ correspondences.</w:t>
      </w:r>
    </w:p>
    <w:p>
      <w:pPr>
        <w:pStyle w:val="BodyText"/>
      </w:pPr>
      <w:r>
        <w:t xml:space="preserve">C) Back-Shu points are simply another name for Yuan-Source points.</w:t>
      </w:r>
    </w:p>
    <w:p>
      <w:pPr>
        <w:pStyle w:val="BodyText"/>
      </w:pPr>
      <w:r>
        <w:t xml:space="preserve">D) Both categories identify the first point on a channel.</w:t>
      </w:r>
    </w:p>
    <w:p>
      <w:pPr>
        <w:pStyle w:val="BodyText"/>
      </w:pPr>
      <w:r>
        <w:t xml:space="preserve">Feedback: Front-Mu and Back-Shu are distinct organ-associated categories organized from different body regions and interpreted according to their own traditional frameworks. Why are the other options incorrect? Only Front-Mu points have organ correspondences. — Both Front-Mu and Back-Shu categories have organ or Fu correspondences. Back-Shu points are simply another name for Yuan-Source points. — Back-Shu and Yuan-Source are separate point classifications with different organizing principles. Both categories identify the first point on a channel. — Neither category is defined by being the first numbered point of a channel.</w:t>
      </w:r>
    </w:p>
    <w:p>
      <w:pPr>
        <w:pStyle w:val="Compact"/>
        <w:numPr>
          <w:ilvl w:val="0"/>
          <w:numId w:val="1003"/>
        </w:numPr>
      </w:pPr>
      <w:r>
        <w:t xml:space="preserve">Which pairing correctly identifies the Mother and Child points of the Lung Channel in this chapter?</w:t>
      </w:r>
    </w:p>
    <w:p>
      <w:pPr>
        <w:pStyle w:val="FirstParagraph"/>
      </w:pPr>
      <w:r>
        <w:t xml:space="preserve">A) Mother LU5 Chize; Child LU9 Taiyuan.</w:t>
      </w:r>
    </w:p>
    <w:p>
      <w:pPr>
        <w:pStyle w:val="BodyText"/>
      </w:pPr>
      <w:r>
        <w:t xml:space="preserve">B) Mother LU11 Shaoshang; Child LU10 Yuji.</w:t>
      </w:r>
    </w:p>
    <w:p>
      <w:pPr>
        <w:pStyle w:val="BodyText"/>
      </w:pPr>
      <w:r>
        <w:t xml:space="preserve">C) Mother LU9 Taiyuan; Child LU5 Chize. +++++</w:t>
      </w:r>
    </w:p>
    <w:p>
      <w:pPr>
        <w:pStyle w:val="BodyText"/>
      </w:pPr>
      <w:r>
        <w:t xml:space="preserve">D) Mother LI4 Hegu; Child LU7 Lieque.</w:t>
      </w:r>
    </w:p>
    <w:p>
      <w:pPr>
        <w:pStyle w:val="BodyText"/>
      </w:pPr>
      <w:r>
        <w:t xml:space="preserve">Feedback: Mother LU9 Taiyuan; Child LU5 Chize is the correct pairing. Lung is a Metal channel; Earth is the Mother of Metal, so the Earth point LU9 Taiyuan is its Mother point, and Water is the Child of Metal, so the Water point LU5 Chize is its Child point. Why are the other options incorrect? Mother LU5 Chize; Child LU9 Taiyuan. — This reverses the Mother and Child relationships. Mother LU11 Shaoshang; Child LU10 Yuji. — LU11 and LU10 are Five Shu points, but they are not the Mother and Child pair for the Lung Channel. Mother LI4 Hegu; Child LU7 Lieque. — LI4 belongs to the Large Intestine Channel and LU7 is a Luo-Connecting point; this pair does not identify the Lung Channel's Mother and Child points.</w:t>
      </w:r>
    </w:p>
    <w:p>
      <w:pPr>
        <w:pStyle w:val="Compact"/>
        <w:numPr>
          <w:ilvl w:val="0"/>
          <w:numId w:val="1004"/>
        </w:numPr>
      </w:pPr>
      <w:r>
        <w:t xml:space="preserve">Which statement correctly distinguishes Entry–Exit classification from channel numbering?</w:t>
      </w:r>
    </w:p>
    <w:p>
      <w:pPr>
        <w:pStyle w:val="FirstParagraph"/>
      </w:pPr>
      <w:r>
        <w:t xml:space="preserve">A) Every Entry point is the first numbered point and every Exit point is the last.</w:t>
      </w:r>
    </w:p>
    <w:p>
      <w:pPr>
        <w:pStyle w:val="BodyText"/>
      </w:pPr>
      <w:r>
        <w:t xml:space="preserve">B) LI4 may be an Entry point and LU7 an Exit point even though neither rule is based simply on first and last numbering. +++++</w:t>
      </w:r>
    </w:p>
    <w:p>
      <w:pPr>
        <w:pStyle w:val="BodyText"/>
      </w:pPr>
      <w:r>
        <w:t xml:space="preserve">C) Entry–Exit is identical to Jing-Well classification.</w:t>
      </w:r>
    </w:p>
    <w:p>
      <w:pPr>
        <w:pStyle w:val="BodyText"/>
      </w:pPr>
      <w:r>
        <w:t xml:space="preserve">D) An Exit point always has the highest number on its channel.</w:t>
      </w:r>
    </w:p>
    <w:p>
      <w:pPr>
        <w:pStyle w:val="BodyText"/>
      </w:pPr>
      <w:r>
        <w:t xml:space="preserve">Feedback: LI4 may be an Entry point and LU7 an Exit point even though neither rule is based simply on first and last numbering; Entry–Exit relationships follow a particular traditional convention rather than channel-number sequence alone. Why are the other options incorrect? Every Entry point is the first numbered point and every Exit point is the last. — Entry and Exit points do not consistently correspond to the first and last numbered points. Entry–Exit is identical to Jing-Well classification. — Jing-Well is a Five Shu classification, whereas Entry–Exit is a separate relationship. An Exit point always has the highest number on its channel. — An Exit point does not have to be the highest-numbered point; LU7 is one clear example.</w:t>
      </w:r>
    </w:p>
    <w:p>
      <w:pPr>
        <w:pStyle w:val="Compact"/>
        <w:numPr>
          <w:ilvl w:val="0"/>
          <w:numId w:val="1005"/>
        </w:numPr>
      </w:pPr>
      <w:r>
        <w:t xml:space="preserve">After identifying the intended strategy in a reasoned point-selection explanation, what should come next?</w:t>
      </w:r>
    </w:p>
    <w:p>
      <w:pPr>
        <w:pStyle w:val="FirstParagraph"/>
      </w:pPr>
      <w:r>
        <w:t xml:space="preserve">A) Choose the relevant category before identifying a matching point. +++++</w:t>
      </w:r>
    </w:p>
    <w:p>
      <w:pPr>
        <w:pStyle w:val="BodyText"/>
      </w:pPr>
      <w:r>
        <w:t xml:space="preserve">B) Select a point by code before describing the pattern.</w:t>
      </w:r>
    </w:p>
    <w:p>
      <w:pPr>
        <w:pStyle w:val="BodyText"/>
      </w:pPr>
      <w:r>
        <w:t xml:space="preserve">C) Skip comparison with alternatives.</w:t>
      </w:r>
    </w:p>
    <w:p>
      <w:pPr>
        <w:pStyle w:val="BodyText"/>
      </w:pPr>
      <w:r>
        <w:t xml:space="preserve">D) Use the correspondence table as the complete treatment argument.</w:t>
      </w:r>
    </w:p>
    <w:p>
      <w:pPr>
        <w:pStyle w:val="BodyText"/>
      </w:pPr>
      <w:r>
        <w:t xml:space="preserve">Feedback: Choose the relevant category before identifying a matching point; the chapter organizes reasoning as pattern, strategy, relevant category, matching point and comparison with alternatives. Why are the other options incorrect? Select a point by code before describing the pattern. — Selecting a code before defining the pattern and strategy reverses the reasoning process and may produce unsupported point selection. Skip comparison with alternatives. — Comparing alternatives demonstrates why the selected point fits better than plausible distractors. Use the correspondence table as the complete treatment argument. — A correspondence table supports recall but does not replace the full clinical or educational reasoning process.</w:t>
      </w:r>
    </w:p>
    <w:p>
      <w:pPr>
        <w:pStyle w:val="Compact"/>
        <w:numPr>
          <w:ilvl w:val="0"/>
          <w:numId w:val="1006"/>
        </w:numPr>
      </w:pPr>
      <w:r>
        <w:t xml:space="preserve">What cannot a correspondence table determine by itself?</w:t>
      </w:r>
    </w:p>
    <w:p>
      <w:pPr>
        <w:pStyle w:val="FirstParagraph"/>
      </w:pPr>
      <w:r>
        <w:t xml:space="preserve">A) The name of a listed category.</w:t>
      </w:r>
    </w:p>
    <w:p>
      <w:pPr>
        <w:pStyle w:val="BodyText"/>
      </w:pPr>
      <w:r>
        <w:t xml:space="preserve">B) A point code shown in the table.</w:t>
      </w:r>
    </w:p>
    <w:p>
      <w:pPr>
        <w:pStyle w:val="BodyText"/>
      </w:pPr>
      <w:r>
        <w:t xml:space="preserve">C) Needling depth, contraindications and suitability for an individual patient. +++++</w:t>
      </w:r>
    </w:p>
    <w:p>
      <w:pPr>
        <w:pStyle w:val="BodyText"/>
      </w:pPr>
      <w:r>
        <w:t xml:space="preserve">D) Whether two entries appear in the same row.</w:t>
      </w:r>
    </w:p>
    <w:p>
      <w:pPr>
        <w:pStyle w:val="BodyText"/>
      </w:pPr>
      <w:r>
        <w:t xml:space="preserve">Feedback: Needling depth, contraindications and suitability for an individual patient cannot be determined by a correspondence table alone; these require appropriate point-location and safety references together with individual clinical assessment. Why are the other options incorrect? The name of a listed category. — A properly labeled correspondence table can directly identify the name of a listed category. A point code shown in the table. — A printed point code can be read directly from the table. Whether two entries appear in the same row. — Row placement and relationships displayed in the table can be observed directly.</w:t>
      </w:r>
    </w:p>
    <w:p>
      <w:pPr>
        <w:pStyle w:val="Compact"/>
        <w:numPr>
          <w:ilvl w:val="0"/>
          <w:numId w:val="1007"/>
        </w:numPr>
      </w:pPr>
      <w:r>
        <w:t xml:space="preserve">How do Shu-Stream and Yuan-Source classifications relate on Yin and Yang channels?</w:t>
      </w:r>
    </w:p>
    <w:p>
      <w:pPr>
        <w:pStyle w:val="FirstParagraph"/>
      </w:pPr>
      <w:r>
        <w:t xml:space="preserve">A) They coincide on Yin channels; on Yang channels the Yuan-Source point is separate. +++++</w:t>
      </w:r>
    </w:p>
    <w:p>
      <w:pPr>
        <w:pStyle w:val="BodyText"/>
      </w:pPr>
      <w:r>
        <w:t xml:space="preserve">B) They coincide on every channel.</w:t>
      </w:r>
    </w:p>
    <w:p>
      <w:pPr>
        <w:pStyle w:val="BodyText"/>
      </w:pPr>
      <w:r>
        <w:t xml:space="preserve">C) They are always separate on Yin channels.</w:t>
      </w:r>
    </w:p>
    <w:p>
      <w:pPr>
        <w:pStyle w:val="BodyText"/>
      </w:pPr>
      <w:r>
        <w:t xml:space="preserve">D) The relationship depends only on point numbering.</w:t>
      </w:r>
    </w:p>
    <w:p>
      <w:pPr>
        <w:pStyle w:val="BodyText"/>
      </w:pPr>
      <w:r>
        <w:t xml:space="preserve">Feedback: Shu-Stream and Yuan-Source coincide on Yin channels, while on Yang channels the Yuan-Source point is separate. Why are the other options incorrect? They coincide on every channel. — Yang channels have a separate Yuan-Source point, so the classifications do not coincide on every channel. They are always separate on Yin channels. — This states the opposite of the Yin-channel relationship. The relationship depends only on point numbering. — The relationship is based on traditional point classification, not simply on numerical order.</w:t>
      </w:r>
    </w:p>
    <w:p>
      <w:pPr>
        <w:pStyle w:val="Compact"/>
        <w:numPr>
          <w:ilvl w:val="0"/>
          <w:numId w:val="1008"/>
        </w:numPr>
      </w:pPr>
      <w:r>
        <w:t xml:space="preserve">What is the best interpretation of combining Ying-Spring and Shu-Stream points?</w:t>
      </w:r>
    </w:p>
    <w:p>
      <w:pPr>
        <w:pStyle w:val="FirstParagraph"/>
      </w:pPr>
      <w:r>
        <w:t xml:space="preserve">A) The two categories are interchangeable.</w:t>
      </w:r>
    </w:p>
    <w:p>
      <w:pPr>
        <w:pStyle w:val="BodyText"/>
      </w:pPr>
      <w:r>
        <w:t xml:space="preserve">B) Any two points from the categories form a complete prescription.</w:t>
      </w:r>
    </w:p>
    <w:p>
      <w:pPr>
        <w:pStyle w:val="BodyText"/>
      </w:pPr>
      <w:r>
        <w:t xml:space="preserve">C) Their different contributions may be combined when supported by the pattern and treatment strategy. +++++</w:t>
      </w:r>
    </w:p>
    <w:p>
      <w:pPr>
        <w:pStyle w:val="BodyText"/>
      </w:pPr>
      <w:r>
        <w:t xml:space="preserve">D) The combination removes the need to assess the patient.</w:t>
      </w:r>
    </w:p>
    <w:p>
      <w:pPr>
        <w:pStyle w:val="BodyText"/>
      </w:pPr>
      <w:r>
        <w:t xml:space="preserve">Feedback: Ying-Spring and Shu-Stream points retain distinct category relationships, and their different contributions may be combined when the pattern, treatment strategy and individual point functions support the combination. Why are the other options incorrect? The two categories are interchangeable. — Ying-Spring and Shu-Stream are distinct categories and should not be treated as interchangeable. Any two points from the categories form a complete prescription. — Category membership alone does not make an arbitrary pair a complete or appropriate prescription. The combination removes the need to assess the patient. — Point combinations do not remove the need for patient assessment and appropriate safety considerations.</w:t>
      </w:r>
    </w:p>
    <w:p>
      <w:pPr>
        <w:pStyle w:val="Compact"/>
        <w:numPr>
          <w:ilvl w:val="0"/>
          <w:numId w:val="1009"/>
        </w:numPr>
      </w:pPr>
      <w:r>
        <w:t xml:space="preserve">What should a learner do when references use different classification conventions?</w:t>
      </w:r>
    </w:p>
    <w:p>
      <w:pPr>
        <w:pStyle w:val="FirstParagraph"/>
      </w:pPr>
      <w:r>
        <w:t xml:space="preserve">A) Silently merge the classifications into one table.</w:t>
      </w:r>
    </w:p>
    <w:p>
      <w:pPr>
        <w:pStyle w:val="BodyText"/>
      </w:pPr>
      <w:r>
        <w:t xml:space="preserve">B) Name the convention and compare the references. +++++</w:t>
      </w:r>
    </w:p>
    <w:p>
      <w:pPr>
        <w:pStyle w:val="BodyText"/>
      </w:pPr>
      <w:r>
        <w:t xml:space="preserve">C) Choose the convention with the shortest point list.</w:t>
      </w:r>
    </w:p>
    <w:p>
      <w:pPr>
        <w:pStyle w:val="BodyText"/>
      </w:pPr>
      <w:r>
        <w:t xml:space="preserve">D) Assume the newest source is always correct.</w:t>
      </w:r>
    </w:p>
    <w:p>
      <w:pPr>
        <w:pStyle w:val="BodyText"/>
      </w:pPr>
      <w:r>
        <w:t xml:space="preserve">Feedback: Name the convention and compare the references; this makes differences transparent and prevents distinct systems from being presented as if they were identical. Why are the other options incorrect? Silently merge the classifications into one table. — Silently merging conventions can create inaccurate or misleading classifications. Choose the convention with the shortest point list. — The length of a point list does not establish the authority or appropriateness of a convention. Assume the newest source is always correct. — Publication date alone does not resolve differences among historical, educational or professional conventions.</w:t>
      </w:r>
    </w:p>
    <w:p>
      <w:pPr>
        <w:pStyle w:val="Compact"/>
        <w:numPr>
          <w:ilvl w:val="0"/>
          <w:numId w:val="1010"/>
        </w:numPr>
      </w:pPr>
      <w:r>
        <w:t xml:space="preserve">How should professional articles in the Continuing Education reading be used?</w:t>
      </w:r>
    </w:p>
    <w:p>
      <w:pPr>
        <w:pStyle w:val="FirstParagraph"/>
      </w:pPr>
      <w:r>
        <w:t xml:space="preserve">A) As the only source that defines examination content.</w:t>
      </w:r>
    </w:p>
    <w:p>
      <w:pPr>
        <w:pStyle w:val="BodyText"/>
      </w:pPr>
      <w:r>
        <w:t xml:space="preserve">B) As replacements for foundational texts and safety references.</w:t>
      </w:r>
    </w:p>
    <w:p>
      <w:pPr>
        <w:pStyle w:val="BodyText"/>
      </w:pPr>
      <w:r>
        <w:t xml:space="preserve">C) As supplementary perspectives for broader reading and comparison. +++++</w:t>
      </w:r>
    </w:p>
    <w:p>
      <w:pPr>
        <w:pStyle w:val="BodyText"/>
      </w:pPr>
      <w:r>
        <w:t xml:space="preserve">D) As proof that one point is suitable for every patient.</w:t>
      </w:r>
    </w:p>
    <w:p>
      <w:pPr>
        <w:pStyle w:val="BodyText"/>
      </w:pPr>
      <w:r>
        <w:t xml:space="preserve">Feedback: Professional articles should be used as supplementary perspectives for broader reading and comparison, interpreted alongside foundational references and appropriate safety resources. Why are the other options incorrect? As the only source that defines examination content. — A professional article does not independently define the complete examination content. As replacements for foundational texts and safety references. — Articles supplement rather than automatically replace foundational texts or safety references. As proof that one point is suitable for every patient. — No article establishes that one acupuncture point is suitable for every patient or clinical circumstance.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2026-10-19T22:28:41Z</dcterms:created>
  <dcterms:modified xsi:type="dcterms:W3CDTF">2026-10-19T22:28:41Z</dcterms:modified>
</cp:coreProperties>
</file>

<file path=docProps/custom.xml><?xml version="1.0" encoding="utf-8"?>
<Properties xmlns="http://schemas.openxmlformats.org/officeDocument/2006/custom-properties" xmlns:vt="http://schemas.openxmlformats.org/officeDocument/2006/docPropsVTypes"/>
</file>