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>1. A patient reports hunger, fatigue and light-headedness before treatment. What is the best classification?</w:t>
      </w:r>
    </w:p>
    <w:p>
      <w:pPr>
        <w:pStyle w:val="BodyText"/>
      </w:pPr>
      <w:r>
        <w:t>A) A patient-screening concern that should be assessed before proceeding. +++++</w:t>
      </w:r>
    </w:p>
    <w:p>
      <w:pPr>
        <w:pStyle w:val="BodyText"/>
      </w:pPr>
      <w:r>
        <w:t>B) A fixed contraindication attached to every acupuncture point.</w:t>
      </w:r>
    </w:p>
    <w:p>
      <w:pPr>
        <w:pStyle w:val="BodyText"/>
      </w:pPr>
      <w:r>
        <w:t>C) Proof of pneumothorax.</w:t>
      </w:r>
    </w:p>
    <w:p>
      <w:pPr>
        <w:pStyle w:val="BodyText"/>
      </w:pPr>
      <w:r>
        <w:t>D) A historical moxibustion restriction.</w:t>
      </w:r>
    </w:p>
    <w:p>
      <w:pPr>
        <w:pStyle w:val="BodyText"/>
      </w:pPr>
      <w:r>
        <w:t>Feedback: Symptoms present before treatment belong first to screening and baseline assessment. Why are the other options incorrect? A fixed contraindication attached to every acupuncture point. — The concern comes from the patient’s current condition, not every point. Proof of pneumothorax. — The scenario does not provide thoracic symptoms or a treatment-related event. A historical moxibustion restriction. — No named modality or historical source is involved.</w:t>
      </w:r>
    </w:p>
    <w:p>
      <w:pPr>
        <w:pStyle w:val="BodyText"/>
      </w:pPr>
      <w:r>
        <w:t>2. Which cluster most strongly suggests a fainting-type adverse response during care?</w:t>
      </w:r>
    </w:p>
    <w:p>
      <w:pPr>
        <w:pStyle w:val="BodyText"/>
      </w:pPr>
      <w:r>
        <w:t>A) Localized itching alone.</w:t>
      </w:r>
    </w:p>
    <w:p>
      <w:pPr>
        <w:pStyle w:val="BodyText"/>
      </w:pPr>
      <w:r>
        <w:t>B) Gradual study fatigue after reading.</w:t>
      </w:r>
    </w:p>
    <w:p>
      <w:pPr>
        <w:pStyle w:val="BodyText"/>
      </w:pPr>
      <w:r>
        <w:t>C) A remembered point name without symptoms.</w:t>
      </w:r>
    </w:p>
    <w:p>
      <w:pPr>
        <w:pStyle w:val="BodyText"/>
      </w:pPr>
      <w:r>
        <w:t>D) Dizziness, nausea, pallor and cold sweating. +++++</w:t>
      </w:r>
    </w:p>
    <w:p>
      <w:pPr>
        <w:pStyle w:val="BodyText"/>
      </w:pPr>
      <w:r>
        <w:t>Feedback: This cluster matches the recognition pattern described in the supplied safety source. Why are the other options incorrect? Localized itching alone. — A single local skin symptom does not match the systemic cluster. Gradual study fatigue after reading. — Study fatigue is not an acute clinical event. A remembered point name without symptoms. — A point name alone does not identify an adverse response.</w:t>
      </w:r>
    </w:p>
    <w:p>
      <w:pPr>
        <w:pStyle w:val="BodyText"/>
      </w:pPr>
      <w:r>
        <w:t>3. A short chart labels a point “contraindicated” but gives no mechanism or date. What should the learner do?</w:t>
      </w:r>
    </w:p>
    <w:p>
      <w:pPr>
        <w:pStyle w:val="BodyText"/>
      </w:pPr>
      <w:r>
        <w:t>A) Ignore the warning because it is old.</w:t>
      </w:r>
    </w:p>
    <w:p>
      <w:pPr>
        <w:pStyle w:val="BodyText"/>
      </w:pPr>
      <w:r>
        <w:t>B) Replace it with a mnemonic.</w:t>
      </w:r>
    </w:p>
    <w:p>
      <w:pPr>
        <w:pStyle w:val="BodyText"/>
      </w:pPr>
      <w:r>
        <w:t>C) Verify the complete point entry and current safety guidance. +++++</w:t>
      </w:r>
    </w:p>
    <w:p>
      <w:pPr>
        <w:pStyle w:val="BodyText"/>
      </w:pPr>
      <w:r>
        <w:t>D) Treat the label as an absolute rule in every context.</w:t>
      </w:r>
    </w:p>
    <w:p>
      <w:pPr>
        <w:pStyle w:val="BodyText"/>
      </w:pPr>
      <w:r>
        <w:t>Feedback: A brief legacy label is insufficient for a current universal claim. Why are the other options incorrect? Ignore the warning because it is old. — Historical material can still flag a real issue that requires verification. Replace it with a mnemonic. — A mnemonic cannot establish current clinical guidance. Treat the label as an absolute rule in every context. — The missing mechanism and source status prevent that conclusion.</w:t>
      </w:r>
    </w:p>
    <w:p>
      <w:pPr>
        <w:pStyle w:val="BodyText"/>
      </w:pPr>
      <w:r>
        <w:t>4. Which factor belongs to the local-site screen?</w:t>
      </w:r>
    </w:p>
    <w:p>
      <w:pPr>
        <w:pStyle w:val="BodyText"/>
      </w:pPr>
      <w:r>
        <w:t>A) The number of points in the channel.</w:t>
      </w:r>
    </w:p>
    <w:p>
      <w:pPr>
        <w:pStyle w:val="BodyText"/>
      </w:pPr>
      <w:r>
        <w:t>B) Active infection or damaged tissue at the intended site. +++++</w:t>
      </w:r>
    </w:p>
    <w:p>
      <w:pPr>
        <w:pStyle w:val="BodyText"/>
      </w:pPr>
      <w:r>
        <w:t>C) The learner’s last examination score.</w:t>
      </w:r>
    </w:p>
    <w:p>
      <w:pPr>
        <w:pStyle w:val="BodyText"/>
      </w:pPr>
      <w:r>
        <w:t>D) The color used in a pathway diagram.</w:t>
      </w:r>
    </w:p>
    <w:p>
      <w:pPr>
        <w:pStyle w:val="BodyText"/>
      </w:pPr>
      <w:r>
        <w:t>Feedback: Local pathology is assessed separately from channel identity. Why are the other options incorrect? The number of points in the channel. — Channel length is unrelated to local tissue integrity. The learner’s last examination score. — An exam score is not a patient-site factor. The color used in a pathway diagram. — Diagram color does not describe tissue condition.</w:t>
      </w:r>
    </w:p>
    <w:p>
      <w:pPr>
        <w:pStyle w:val="BodyText"/>
      </w:pPr>
      <w:r>
        <w:t>5. Why should an unexpected electric shock-like sensation be classified separately from bleeding?</w:t>
      </w:r>
    </w:p>
    <w:p>
      <w:pPr>
        <w:pStyle w:val="BodyText"/>
      </w:pPr>
      <w:r>
        <w:t>A) It may indicate direct nerve stimulation rather than vessel involvement. +++++</w:t>
      </w:r>
    </w:p>
    <w:p>
      <w:pPr>
        <w:pStyle w:val="BodyText"/>
      </w:pPr>
      <w:r>
        <w:t>B) It always proves normal deqi.</w:t>
      </w:r>
    </w:p>
    <w:p>
      <w:pPr>
        <w:pStyle w:val="BodyText"/>
      </w:pPr>
      <w:r>
        <w:t>C) It identifies pregnancy.</w:t>
      </w:r>
    </w:p>
    <w:p>
      <w:pPr>
        <w:pStyle w:val="BodyText"/>
      </w:pPr>
      <w:r>
        <w:t>D) It is only a moxa reaction.</w:t>
      </w:r>
    </w:p>
    <w:p>
      <w:pPr>
        <w:pStyle w:val="BodyText"/>
      </w:pPr>
      <w:r>
        <w:t>Feedback: Neural and vascular warning cues have different anatomical mechanisms. Why are the other options incorrect? It always proves normal deqi. — An unexpected electrical sensation requires caution and assessment. It identifies pregnancy. — It is a sensory cue, not a pregnancy screen. It is only a moxa reaction. — The scenario concerns needling sensation, not heat.</w:t>
      </w:r>
    </w:p>
    <w:p>
      <w:pPr>
        <w:pStyle w:val="BodyText"/>
      </w:pPr>
      <w:r>
        <w:t>6. Which statement best distinguishes an adverse event from a pre-existing symptom?</w:t>
      </w:r>
    </w:p>
    <w:p>
      <w:pPr>
        <w:pStyle w:val="BodyText"/>
      </w:pPr>
      <w:r>
        <w:t>A) Any symptom after treatment was caused by treatment.</w:t>
      </w:r>
    </w:p>
    <w:p>
      <w:pPr>
        <w:pStyle w:val="BodyText"/>
      </w:pPr>
      <w:r>
        <w:t>B) Symptoms before treatment can be ignored.</w:t>
      </w:r>
    </w:p>
    <w:p>
      <w:pPr>
        <w:pStyle w:val="BodyText"/>
      </w:pPr>
      <w:r>
        <w:t>C) The point name determines causation by itself.</w:t>
      </w:r>
    </w:p>
    <w:p>
      <w:pPr>
        <w:pStyle w:val="BodyText"/>
      </w:pPr>
      <w:r>
        <w:t>D) Document timing and baseline findings before assigning causation. +++++</w:t>
      </w:r>
    </w:p>
    <w:p>
      <w:pPr>
        <w:pStyle w:val="BodyText"/>
      </w:pPr>
      <w:r>
        <w:t>Feedback: Temporal sequence and baseline documentation prevent unsupported causal claims. Why are the other options incorrect? Any symptom after treatment was caused by treatment. — Timing alone does not prove causation. Symptoms before treatment can be ignored. — Baseline symptoms are essential to assessment. The point name determines causation by itself. — A point name cannot establish causality.</w:t>
      </w:r>
    </w:p>
    <w:p>
      <w:pPr>
        <w:pStyle w:val="BodyText"/>
      </w:pPr>
      <w:r>
        <w:t>7. A learner sees the terms stuck, bent and broken needle in a source. What is the safest educational use?</w:t>
      </w:r>
    </w:p>
    <w:p>
      <w:pPr>
        <w:pStyle w:val="BodyText"/>
      </w:pPr>
      <w:r>
        <w:t>A) Practice removal techniques from the summary alone.</w:t>
      </w:r>
    </w:p>
    <w:p>
      <w:pPr>
        <w:pStyle w:val="BodyText"/>
      </w:pPr>
      <w:r>
        <w:t>B) Classify all three as pregnancy issues.</w:t>
      </w:r>
    </w:p>
    <w:p>
      <w:pPr>
        <w:pStyle w:val="BodyText"/>
      </w:pPr>
      <w:r>
        <w:t>C) Recognize them as distinct events and follow the current supervised protocol. +++++</w:t>
      </w:r>
    </w:p>
    <w:p>
      <w:pPr>
        <w:pStyle w:val="BodyText"/>
      </w:pPr>
      <w:r>
        <w:t>D) Infer a single identical response for all three.</w:t>
      </w:r>
    </w:p>
    <w:p>
      <w:pPr>
        <w:pStyle w:val="BodyText"/>
      </w:pPr>
      <w:r>
        <w:t>Feedback: The chapter supports recognition and escalation, not independent procedural management. Why are the other options incorrect? Practice removal techniques from the summary alone. — Procedural management requires complete training and supervision. Classify all three as pregnancy issues. — They are instrument or movement events, not pregnancy categories. Infer a single identical response for all three. — The events have different mechanisms and implications.</w:t>
      </w:r>
    </w:p>
    <w:p>
      <w:pPr>
        <w:pStyle w:val="BodyText"/>
      </w:pPr>
      <w:r>
        <w:t>8. Which statement about hematoma study is most accurate?</w:t>
      </w:r>
    </w:p>
    <w:p>
      <w:pPr>
        <w:pStyle w:val="BodyText"/>
      </w:pPr>
      <w:r>
        <w:t>A) Assume it is caused by a nerve.</w:t>
      </w:r>
    </w:p>
    <w:p>
      <w:pPr>
        <w:pStyle w:val="BodyText"/>
      </w:pPr>
      <w:r>
        <w:t>B) Connect the finding to possible vessel injury and current adverse-event guidance. +++++</w:t>
      </w:r>
    </w:p>
    <w:p>
      <w:pPr>
        <w:pStyle w:val="BodyText"/>
      </w:pPr>
      <w:r>
        <w:t>C) Treat every discoloration as an arterial emergency.</w:t>
      </w:r>
    </w:p>
    <w:p>
      <w:pPr>
        <w:pStyle w:val="BodyText"/>
      </w:pPr>
      <w:r>
        <w:t>D) Memorize only the point name.</w:t>
      </w:r>
    </w:p>
    <w:p>
      <w:pPr>
        <w:pStyle w:val="BodyText"/>
      </w:pPr>
      <w:r>
        <w:t>Feedback: The useful Board-level relationship is event recognition plus appropriate protocol. Why are the other options incorrect? Assume it is caused by a nerve. — Hematoma is principally a bleeding or vessel-related finding. Treat every discoloration as an arterial emergency. — Appearance alone does not establish the vessel or severity. Memorize only the point name. — Mechanism and presentation matter in clinical vignettes.</w:t>
      </w:r>
    </w:p>
    <w:p>
      <w:pPr>
        <w:pStyle w:val="BodyText"/>
      </w:pPr>
      <w:r>
        <w:t>9. A question mentions pregnancy and a thoracic point. How should the risks be organized?</w:t>
      </w:r>
    </w:p>
    <w:p>
      <w:pPr>
        <w:pStyle w:val="BodyText"/>
      </w:pPr>
      <w:r>
        <w:t>A) Record pregnancy context and thoracic anatomy as separate factors. +++++</w:t>
      </w:r>
    </w:p>
    <w:p>
      <w:pPr>
        <w:pStyle w:val="BodyText"/>
      </w:pPr>
      <w:r>
        <w:t>B) Choose pregnancy and ignore anatomy.</w:t>
      </w:r>
    </w:p>
    <w:p>
      <w:pPr>
        <w:pStyle w:val="BodyText"/>
      </w:pPr>
      <w:r>
        <w:t>C) Choose pleura and ignore the patient.</w:t>
      </w:r>
    </w:p>
    <w:p>
      <w:pPr>
        <w:pStyle w:val="BodyText"/>
      </w:pPr>
      <w:r>
        <w:t>D) Combine both into a modality restriction.</w:t>
      </w:r>
    </w:p>
    <w:p>
      <w:pPr>
        <w:pStyle w:val="BodyText"/>
      </w:pPr>
      <w:r>
        <w:t>Feedback: One patient-context label does not replace a second anatomical risk analysis. Why are the other options incorrect? Choose pregnancy and ignore anatomy. — Both independent dimensions remain relevant. Choose pleura and ignore the patient. — Patient context must still be screened. Combine both into a modality restriction. — Neither factor automatically identifies a named modality.</w:t>
      </w:r>
    </w:p>
    <w:p>
      <w:pPr>
        <w:pStyle w:val="BodyText"/>
      </w:pPr>
      <w:r>
        <w:t>10. What is the strongest first step in the SAFER framework?</w:t>
      </w:r>
    </w:p>
    <w:p>
      <w:pPr>
        <w:pStyle w:val="BodyText"/>
      </w:pPr>
      <w:r>
        <w:t>A) Select a point from memory.</w:t>
      </w:r>
    </w:p>
    <w:p>
      <w:pPr>
        <w:pStyle w:val="BodyText"/>
      </w:pPr>
      <w:r>
        <w:t>B) Jump to the final reflection.</w:t>
      </w:r>
    </w:p>
    <w:p>
      <w:pPr>
        <w:pStyle w:val="BodyText"/>
      </w:pPr>
      <w:r>
        <w:t>C) Assume the old bank contains the complete rule.</w:t>
      </w:r>
    </w:p>
    <w:p>
      <w:pPr>
        <w:pStyle w:val="BodyText"/>
      </w:pPr>
      <w:r>
        <w:t>D) Screen the patient, site, symptoms and modality context. +++++</w:t>
      </w:r>
    </w:p>
    <w:p>
      <w:pPr>
        <w:pStyle w:val="BodyText"/>
      </w:pPr>
      <w:r>
        <w:t>Feedback: Screening establishes the information needed before anatomical classification and source review. Why are the other options incorrect? Select a point from memory. — Selection before screening skips essential context. Jump to the final reflection. — Reflection follows learning and assessment. Assume the old bank contains the complete rule. — A short bank is not a substitute for a complete current source.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2026-10-19T22:35:00Z</dcterms:created>
  <dcterms:modified xsi:type="dcterms:W3CDTF">2026-10-19T22:35:00Z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