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Objective 19 — Eight Confluent Points</w:t>
      </w:r>
    </w:p>
    <w:p>
      <w:r>
        <w:t>Instructor answer key — compare after the learner completes the table from memory.</w:t>
      </w:r>
    </w:p>
    <w:p>
      <w:r>
        <w:t>Match each Extraordinary Vessel with its limb confluent point. Do not confuse confluent points with all coalescent 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Vessel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Ren Mai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Yin Qiao Mai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Du Mai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Yang Qiao Mai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Dai Mai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Yang Wei Mai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Chong Mai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rPr>
                <w:b/>
              </w:rPr>
              <w:t>Yin Wei Mai</w:t>
            </w:r>
          </w:p>
        </w:tc>
      </w:tr>
      <w:tr>
        <w:tc>
          <w:tcPr>
            <w:tcW w:type="dxa" w:w="1616"/>
            <w:vAlign w:val="center"/>
          </w:tcPr>
          <w:p>
            <w:pPr>
              <w:jc w:val="center"/>
            </w:pPr>
            <w:r>
              <w:t>Confluent point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LU7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KID6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SI3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UB62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GB41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SJ5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SP4</w:t>
            </w:r>
          </w:p>
        </w:tc>
        <w:tc>
          <w:tcPr>
            <w:tcW w:type="dxa" w:w="1616"/>
            <w:vAlign w:val="center"/>
          </w:tcPr>
          <w:p>
            <w:pPr>
              <w:jc w:val="center"/>
            </w:pPr>
            <w:r>
              <w:t>PC6</w:t>
            </w:r>
          </w:p>
        </w:tc>
      </w:tr>
    </w:tbl>
    <w:p>
      <w:r>
        <w:t>Reference framework: Point Categories tables supplied by the instructor and the corresponding chapter objective. Confirm individual point entries before clinical use.</w:t>
      </w:r>
    </w:p>
    <w:sectPr w:rsidR="00FC693F" w:rsidRPr="0006063C" w:rsidSect="00034616">
      <w:pgSz w:w="15840" w:h="12240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