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Worksheet 1 — Du, Ren, Chong and Dai</w:t>
      </w:r>
    </w:p>
    <w:p>
      <w:r>
        <w:t>Instructor answer key. Parentheses preserve qualified entries shown in the supplied source chart. BL and UB both refer to the Bladder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</w:tcPr>
          <w:p>
            <w:r>
              <w:t>Chinese / pinyin name</w:t>
            </w:r>
          </w:p>
        </w:tc>
        <w:tc>
          <w:tcPr>
            <w:tcW w:type="dxa" w:w="2851"/>
          </w:tcPr>
          <w:p>
            <w:r>
              <w:t>English name</w:t>
            </w:r>
          </w:p>
        </w:tc>
        <w:tc>
          <w:tcPr>
            <w:tcW w:type="dxa" w:w="2851"/>
          </w:tcPr>
          <w:p>
            <w:r>
              <w:t>Origin</w:t>
            </w:r>
          </w:p>
        </w:tc>
        <w:tc>
          <w:tcPr>
            <w:tcW w:type="dxa" w:w="2851"/>
          </w:tcPr>
          <w:p>
            <w:r>
              <w:t>Meeting / coalescent points</w:t>
            </w:r>
          </w:p>
        </w:tc>
        <w:tc>
          <w:tcPr>
            <w:tcW w:type="dxa" w:w="2851"/>
          </w:tcPr>
          <w:p>
            <w:r>
              <w:t>Main relationship</w:t>
            </w:r>
          </w:p>
        </w:tc>
      </w:tr>
      <w:tr>
        <w:tc>
          <w:tcPr>
            <w:tcW w:type="dxa" w:w="2851"/>
            <w:vAlign w:val="center"/>
          </w:tcPr>
          <w:p>
            <w:r>
              <w:t>Du Mai</w:t>
            </w:r>
          </w:p>
        </w:tc>
        <w:tc>
          <w:tcPr>
            <w:tcW w:type="dxa" w:w="2851"/>
            <w:vAlign w:val="center"/>
          </w:tcPr>
          <w:p>
            <w:r>
              <w:t>Governing Vessel</w:t>
            </w:r>
          </w:p>
        </w:tc>
        <w:tc>
          <w:tcPr>
            <w:tcW w:type="dxa" w:w="2851"/>
            <w:vAlign w:val="center"/>
          </w:tcPr>
          <w:p>
            <w:r>
              <w:t>Lower abdomen / pelvic region</w:t>
            </w:r>
          </w:p>
        </w:tc>
        <w:tc>
          <w:tcPr>
            <w:tcW w:type="dxa" w:w="2851"/>
            <w:vAlign w:val="center"/>
          </w:tcPr>
          <w:p>
            <w:r>
              <w:t>DU20, DU14, DU1; source chart also shows RN1 and UB12 relationships</w:t>
            </w:r>
          </w:p>
        </w:tc>
        <w:tc>
          <w:tcPr>
            <w:tcW w:type="dxa" w:w="2851"/>
            <w:vAlign w:val="center"/>
          </w:tcPr>
          <w:p>
            <w:r>
              <w:t>Sea of the Yang channels; posterior midline</w:t>
            </w:r>
          </w:p>
        </w:tc>
      </w:tr>
      <w:tr>
        <w:tc>
          <w:tcPr>
            <w:tcW w:type="dxa" w:w="2851"/>
            <w:vAlign w:val="center"/>
          </w:tcPr>
          <w:p>
            <w:r>
              <w:t>Ren Mai</w:t>
            </w:r>
          </w:p>
        </w:tc>
        <w:tc>
          <w:tcPr>
            <w:tcW w:type="dxa" w:w="2851"/>
            <w:vAlign w:val="center"/>
          </w:tcPr>
          <w:p>
            <w:r>
              <w:t>Conception Vessel</w:t>
            </w:r>
          </w:p>
        </w:tc>
        <w:tc>
          <w:tcPr>
            <w:tcW w:type="dxa" w:w="2851"/>
            <w:vAlign w:val="center"/>
          </w:tcPr>
          <w:p>
            <w:r>
              <w:t>Lower abdomen / pelvic region</w:t>
            </w:r>
          </w:p>
        </w:tc>
        <w:tc>
          <w:tcPr>
            <w:tcW w:type="dxa" w:w="2851"/>
            <w:vAlign w:val="center"/>
          </w:tcPr>
          <w:p>
            <w:r>
              <w:t>REN pathway points; supplied chart marks DU28 and ST1 as crossing relationships</w:t>
            </w:r>
          </w:p>
        </w:tc>
        <w:tc>
          <w:tcPr>
            <w:tcW w:type="dxa" w:w="2851"/>
            <w:vAlign w:val="center"/>
          </w:tcPr>
          <w:p>
            <w:r>
              <w:t>Sea of the Yin channels; anterior midline</w:t>
            </w:r>
          </w:p>
        </w:tc>
      </w:tr>
      <w:tr>
        <w:tc>
          <w:tcPr>
            <w:tcW w:type="dxa" w:w="2851"/>
            <w:vAlign w:val="center"/>
          </w:tcPr>
          <w:p>
            <w:r>
              <w:t>Chong Mai</w:t>
            </w:r>
          </w:p>
        </w:tc>
        <w:tc>
          <w:tcPr>
            <w:tcW w:type="dxa" w:w="2851"/>
            <w:vAlign w:val="center"/>
          </w:tcPr>
          <w:p>
            <w:r>
              <w:t>Penetrating Vessel</w:t>
            </w:r>
          </w:p>
        </w:tc>
        <w:tc>
          <w:tcPr>
            <w:tcW w:type="dxa" w:w="2851"/>
            <w:vAlign w:val="center"/>
          </w:tcPr>
          <w:p>
            <w:r>
              <w:t>Lower abdomen</w:t>
            </w:r>
          </w:p>
        </w:tc>
        <w:tc>
          <w:tcPr>
            <w:tcW w:type="dxa" w:w="2851"/>
            <w:vAlign w:val="center"/>
          </w:tcPr>
          <w:p>
            <w:r>
              <w:t>REN1, ST30, KID11–KID21</w:t>
            </w:r>
          </w:p>
        </w:tc>
        <w:tc>
          <w:tcPr>
            <w:tcW w:type="dxa" w:w="2851"/>
            <w:vAlign w:val="center"/>
          </w:tcPr>
          <w:p>
            <w:r>
              <w:t>Sea of Blood / sea of the twelve Primary Channels</w:t>
            </w:r>
          </w:p>
        </w:tc>
      </w:tr>
      <w:tr>
        <w:tc>
          <w:tcPr>
            <w:tcW w:type="dxa" w:w="2851"/>
            <w:vAlign w:val="center"/>
          </w:tcPr>
          <w:p>
            <w:r>
              <w:t>Dai Mai</w:t>
            </w:r>
          </w:p>
        </w:tc>
        <w:tc>
          <w:tcPr>
            <w:tcW w:type="dxa" w:w="2851"/>
            <w:vAlign w:val="center"/>
          </w:tcPr>
          <w:p>
            <w:r>
              <w:t>Girdling Vessel</w:t>
            </w:r>
          </w:p>
        </w:tc>
        <w:tc>
          <w:tcPr>
            <w:tcW w:type="dxa" w:w="2851"/>
            <w:vAlign w:val="center"/>
          </w:tcPr>
          <w:p>
            <w:r>
              <w:t>LIV13 region</w:t>
            </w:r>
          </w:p>
        </w:tc>
        <w:tc>
          <w:tcPr>
            <w:tcW w:type="dxa" w:w="2851"/>
            <w:vAlign w:val="center"/>
          </w:tcPr>
          <w:p>
            <w:r>
              <w:t>GB26, GB27, GB28</w:t>
            </w:r>
          </w:p>
        </w:tc>
        <w:tc>
          <w:tcPr>
            <w:tcW w:type="dxa" w:w="2851"/>
            <w:vAlign w:val="center"/>
          </w:tcPr>
          <w:p>
            <w:r>
              <w:t>Encircles the waist and binds vertical pathways</w:t>
            </w:r>
          </w:p>
        </w:tc>
      </w:tr>
    </w:tbl>
    <w:p>
      <w:r>
        <w:t>Study reminder: a confluent point is not the same as the complete list of meeting/coalescent points.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Worksheet 2 — Qiao and Wei Vessels</w:t>
      </w:r>
    </w:p>
    <w:p>
      <w:r>
        <w:t>Instructor answer key. Parentheses preserve qualified entries shown in the supplied source chart. BL and UB both refer to the Bladder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</w:tcPr>
          <w:p>
            <w:r>
              <w:t>Chinese / pinyin name</w:t>
            </w:r>
          </w:p>
        </w:tc>
        <w:tc>
          <w:tcPr>
            <w:tcW w:type="dxa" w:w="2851"/>
          </w:tcPr>
          <w:p>
            <w:r>
              <w:t>English name</w:t>
            </w:r>
          </w:p>
        </w:tc>
        <w:tc>
          <w:tcPr>
            <w:tcW w:type="dxa" w:w="2851"/>
          </w:tcPr>
          <w:p>
            <w:r>
              <w:t>Origin</w:t>
            </w:r>
          </w:p>
        </w:tc>
        <w:tc>
          <w:tcPr>
            <w:tcW w:type="dxa" w:w="2851"/>
          </w:tcPr>
          <w:p>
            <w:r>
              <w:t>Meeting / coalescent points</w:t>
            </w:r>
          </w:p>
        </w:tc>
        <w:tc>
          <w:tcPr>
            <w:tcW w:type="dxa" w:w="2851"/>
          </w:tcPr>
          <w:p>
            <w:r>
              <w:t>Main relationship</w:t>
            </w:r>
          </w:p>
        </w:tc>
      </w:tr>
      <w:tr>
        <w:tc>
          <w:tcPr>
            <w:tcW w:type="dxa" w:w="2851"/>
            <w:vAlign w:val="center"/>
          </w:tcPr>
          <w:p>
            <w:r>
              <w:t>Yang Qiao Mai</w:t>
            </w:r>
          </w:p>
        </w:tc>
        <w:tc>
          <w:tcPr>
            <w:tcW w:type="dxa" w:w="2851"/>
            <w:vAlign w:val="center"/>
          </w:tcPr>
          <w:p>
            <w:r>
              <w:t>Yang Motility Vessel</w:t>
            </w:r>
          </w:p>
        </w:tc>
        <w:tc>
          <w:tcPr>
            <w:tcW w:type="dxa" w:w="2851"/>
            <w:vAlign w:val="center"/>
          </w:tcPr>
          <w:p>
            <w:r>
              <w:t>UB62</w:t>
            </w:r>
          </w:p>
        </w:tc>
        <w:tc>
          <w:tcPr>
            <w:tcW w:type="dxa" w:w="2851"/>
            <w:vAlign w:val="center"/>
          </w:tcPr>
          <w:p>
            <w:r>
              <w:t>UB62, UB61, UB59, GB29, SI10, LI15, LI16, (ST9), ST4, ST3, ST1, UB1, GB20</w:t>
            </w:r>
          </w:p>
        </w:tc>
        <w:tc>
          <w:tcPr>
            <w:tcW w:type="dxa" w:w="2851"/>
            <w:vAlign w:val="center"/>
          </w:tcPr>
          <w:p>
            <w:r>
              <w:t>Activity; lateral Yang relationship</w:t>
            </w:r>
          </w:p>
        </w:tc>
      </w:tr>
      <w:tr>
        <w:tc>
          <w:tcPr>
            <w:tcW w:type="dxa" w:w="2851"/>
            <w:vAlign w:val="center"/>
          </w:tcPr>
          <w:p>
            <w:r>
              <w:t>Yin Qiao Mai</w:t>
            </w:r>
          </w:p>
        </w:tc>
        <w:tc>
          <w:tcPr>
            <w:tcW w:type="dxa" w:w="2851"/>
            <w:vAlign w:val="center"/>
          </w:tcPr>
          <w:p>
            <w:r>
              <w:t>Yin Motility Vessel</w:t>
            </w:r>
          </w:p>
        </w:tc>
        <w:tc>
          <w:tcPr>
            <w:tcW w:type="dxa" w:w="2851"/>
            <w:vAlign w:val="center"/>
          </w:tcPr>
          <w:p>
            <w:r>
              <w:t>KID6; chart notes KID2 variant</w:t>
            </w:r>
          </w:p>
        </w:tc>
        <w:tc>
          <w:tcPr>
            <w:tcW w:type="dxa" w:w="2851"/>
            <w:vAlign w:val="center"/>
          </w:tcPr>
          <w:p>
            <w:r>
              <w:t>(KID2), KID6, KID8, (ST12), (ST9), UB1</w:t>
            </w:r>
          </w:p>
        </w:tc>
        <w:tc>
          <w:tcPr>
            <w:tcW w:type="dxa" w:w="2851"/>
            <w:vAlign w:val="center"/>
          </w:tcPr>
          <w:p>
            <w:r>
              <w:t>Quietness; medial Yin relationship</w:t>
            </w:r>
          </w:p>
        </w:tc>
      </w:tr>
      <w:tr>
        <w:tc>
          <w:tcPr>
            <w:tcW w:type="dxa" w:w="2851"/>
            <w:vAlign w:val="center"/>
          </w:tcPr>
          <w:p>
            <w:r>
              <w:t>Yang Wei Mai</w:t>
            </w:r>
          </w:p>
        </w:tc>
        <w:tc>
          <w:tcPr>
            <w:tcW w:type="dxa" w:w="2851"/>
            <w:vAlign w:val="center"/>
          </w:tcPr>
          <w:p>
            <w:r>
              <w:t>Yang Linking Vessel</w:t>
            </w:r>
          </w:p>
        </w:tc>
        <w:tc>
          <w:tcPr>
            <w:tcW w:type="dxa" w:w="2851"/>
            <w:vAlign w:val="center"/>
          </w:tcPr>
          <w:p>
            <w:r>
              <w:t>UB63</w:t>
            </w:r>
          </w:p>
        </w:tc>
        <w:tc>
          <w:tcPr>
            <w:tcW w:type="dxa" w:w="2851"/>
            <w:vAlign w:val="center"/>
          </w:tcPr>
          <w:p>
            <w:r>
              <w:t>UB63, GB35, SI10, SJ15, GB21, (ST8), GB13–GB20, DU16, DU15</w:t>
            </w:r>
          </w:p>
        </w:tc>
        <w:tc>
          <w:tcPr>
            <w:tcW w:type="dxa" w:w="2851"/>
            <w:vAlign w:val="center"/>
          </w:tcPr>
          <w:p>
            <w:r>
              <w:t>Links Yang channels and Du; exterior</w:t>
            </w:r>
          </w:p>
        </w:tc>
      </w:tr>
      <w:tr>
        <w:tc>
          <w:tcPr>
            <w:tcW w:type="dxa" w:w="2851"/>
            <w:vAlign w:val="center"/>
          </w:tcPr>
          <w:p>
            <w:r>
              <w:t>Yin Wei Mai</w:t>
            </w:r>
          </w:p>
        </w:tc>
        <w:tc>
          <w:tcPr>
            <w:tcW w:type="dxa" w:w="2851"/>
            <w:vAlign w:val="center"/>
          </w:tcPr>
          <w:p>
            <w:r>
              <w:t>Yin Linking Vessel</w:t>
            </w:r>
          </w:p>
        </w:tc>
        <w:tc>
          <w:tcPr>
            <w:tcW w:type="dxa" w:w="2851"/>
            <w:vAlign w:val="center"/>
          </w:tcPr>
          <w:p>
            <w:r>
              <w:t>KID9</w:t>
            </w:r>
          </w:p>
        </w:tc>
        <w:tc>
          <w:tcPr>
            <w:tcW w:type="dxa" w:w="2851"/>
            <w:vAlign w:val="center"/>
          </w:tcPr>
          <w:p>
            <w:r>
              <w:t>KID9, (SP12), SP13, SP15, SP16, LIV14, REN22, REN23</w:t>
            </w:r>
          </w:p>
        </w:tc>
        <w:tc>
          <w:tcPr>
            <w:tcW w:type="dxa" w:w="2851"/>
            <w:vAlign w:val="center"/>
          </w:tcPr>
          <w:p>
            <w:r>
              <w:t>Links Yin channels and Ren; interior</w:t>
            </w:r>
          </w:p>
        </w:tc>
      </w:tr>
    </w:tbl>
    <w:p>
      <w:r>
        <w:t>Study reminder: a confluent point is not the same as the complete list of meeting/coalescent points.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