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Objective 26 — Entry and Exit Points</w:t>
      </w:r>
    </w:p>
    <w:p>
      <w:r>
        <w:t>Name: ______________________________    Date: __________________    Complete the blank cells from memory.</w:t>
      </w:r>
    </w:p>
    <w:p>
      <w:r>
        <w:t>Reconstruct the course convention shown in the supplied table. Entry and Exit are transfer relationships; they are not a universal first-point/last-point rule.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</w:tblGrid>
      <w:tr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LU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LI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ST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SP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HT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SI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UB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KID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PC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SJ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GB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LIV</w:t>
            </w:r>
          </w:p>
        </w:tc>
      </w:tr>
      <w:tr>
        <w:tc>
          <w:tcPr>
            <w:tcW w:type="dxa" w:w="1119"/>
            <w:vAlign w:val="center"/>
          </w:tcPr>
          <w:p>
            <w:pPr>
              <w:jc w:val="center"/>
            </w:pPr>
            <w:r>
              <w:t>Entry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</w:tr>
      <w:tr>
        <w:tc>
          <w:tcPr>
            <w:tcW w:type="dxa" w:w="1119"/>
            <w:vAlign w:val="center"/>
          </w:tcPr>
          <w:p>
            <w:pPr>
              <w:jc w:val="center"/>
            </w:pPr>
            <w:r>
              <w:t>Exit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</w:tr>
    </w:tbl>
    <w:p>
      <w:r>
        <w:t>Reference framework: Point Categories tables supplied by the instructor and the corresponding chapter objective. Confirm individual point entries before clinical use.</w:t>
      </w:r>
    </w:p>
    <w:sectPr w:rsidR="00FC693F" w:rsidRPr="0006063C" w:rsidSect="00034616"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