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Objective 18 — Eight Hui-Meeting Points</w:t>
      </w:r>
    </w:p>
    <w:p>
      <w:r>
        <w:t>Instructor answer key — compare after the learner completes the table from memory.</w:t>
      </w:r>
    </w:p>
    <w:p>
      <w:r>
        <w:t>Match each tissue, substance or organ grouping with its Hui-Meeting point.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Zang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Fu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Qi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Blood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Sinews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Vessels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Bone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Marrow</w:t>
            </w:r>
          </w:p>
        </w:tc>
      </w:tr>
      <w:tr>
        <w:tc>
          <w:tcPr>
            <w:tcW w:type="dxa" w:w="1616"/>
            <w:vAlign w:val="center"/>
          </w:tcPr>
          <w:p>
            <w:pPr>
              <w:jc w:val="center"/>
            </w:pPr>
            <w:r>
              <w:t>Hui-Meeting point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LIV13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REN12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REN17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UB17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GB34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LU9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UB11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GB39</w:t>
            </w:r>
          </w:p>
        </w:tc>
      </w:tr>
    </w:tbl>
    <w:p>
      <w:r>
        <w:t>Reference framework: Point Categories tables supplied by the instructor and the corresponding chapter objective. Confirm individual point entries before clinical use.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