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Objective 13 — Yuan-Source Points</w:t>
      </w:r>
    </w:p>
    <w:p>
      <w:r>
        <w:t>Name: ______________________________    Date: __________________    Complete the blank cells from memory.</w:t>
      </w:r>
    </w:p>
    <w:p>
      <w:r>
        <w:t>Complete the Yuan-Source correspondence for all twelve Primary Channels.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19"/>
        <w:gridCol w:w="1119"/>
        <w:gridCol w:w="1119"/>
        <w:gridCol w:w="1119"/>
        <w:gridCol w:w="1119"/>
        <w:gridCol w:w="1119"/>
        <w:gridCol w:w="1119"/>
        <w:gridCol w:w="1119"/>
        <w:gridCol w:w="1119"/>
        <w:gridCol w:w="1119"/>
        <w:gridCol w:w="1119"/>
        <w:gridCol w:w="1119"/>
        <w:gridCol w:w="1119"/>
      </w:tblGrid>
      <w:tr>
        <w:tc>
          <w:tcPr>
            <w:tcW w:type="dxa" w:w="1119"/>
            <w:vAlign w:val="center"/>
          </w:tcPr>
          <w:p>
            <w:pPr>
              <w:jc w:val="center"/>
            </w:pPr>
            <w:r>
              <w:rPr>
                <w:b/>
              </w:rPr>
              <w:t>Channel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rPr>
                <w:b/>
              </w:rPr>
              <w:t>LU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rPr>
                <w:b/>
              </w:rPr>
              <w:t>LI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rPr>
                <w:b/>
              </w:rPr>
              <w:t>ST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rPr>
                <w:b/>
              </w:rPr>
              <w:t>SP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rPr>
                <w:b/>
              </w:rPr>
              <w:t>HT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rPr>
                <w:b/>
              </w:rPr>
              <w:t>SI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rPr>
                <w:b/>
              </w:rPr>
              <w:t>UB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rPr>
                <w:b/>
              </w:rPr>
              <w:t>KID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rPr>
                <w:b/>
              </w:rPr>
              <w:t>PC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rPr>
                <w:b/>
              </w:rPr>
              <w:t>SJ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rPr>
                <w:b/>
              </w:rPr>
              <w:t>GB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rPr>
                <w:b/>
              </w:rPr>
              <w:t>LIV</w:t>
            </w:r>
          </w:p>
        </w:tc>
      </w:tr>
      <w:tr>
        <w:tc>
          <w:tcPr>
            <w:tcW w:type="dxa" w:w="1119"/>
            <w:vAlign w:val="center"/>
          </w:tcPr>
          <w:p>
            <w:pPr>
              <w:jc w:val="center"/>
            </w:pPr>
            <w:r>
              <w:t>Yuan-Source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________________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________________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________________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________________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________________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________________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________________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________________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________________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________________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________________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________________</w:t>
            </w:r>
          </w:p>
        </w:tc>
      </w:tr>
    </w:tbl>
    <w:p>
      <w:r>
        <w:t>Reference framework: Point Categories tables supplied by the instructor and the corresponding chapter objective. Confirm individual point entries before clinical use.</w:t>
      </w:r>
    </w:p>
    <w:sectPr w:rsidR="00FC693F" w:rsidRPr="0006063C" w:rsidSect="00034616">
      <w:pgSz w:w="15840" w:h="12240" w:orient="landscape"/>
      <w:pgMar w:top="720" w:right="648" w:bottom="720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