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keepLines/>
        <w:spacing w:before="0" w:after="50"/>
      </w:pPr>
      <w:r>
        <w:t xml:space="preserve">Alpiniae officinarum Rhizoma (gao liang jiang) vs. Zingiberis Rhizoma recens (sheng jiang)</w:t>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1800"/>
        <w:gridCol w:w="6100"/>
        <w:gridCol w:w="6100"/>
      </w:tblGrid>
      <w:tr>
        <w:trPr>
          <w:cantSplit/>
        </w:trPr>
        <w:tc>
          <w:tcPr>
            <w:gridSpan w:val="3"/>
            <w:tcW w:w="14000" w:type="dxa"/>
            <w:shd w:val="clear" w:color="auto" w:fill="527286"/>
            <w:vAlign w:val="top"/>
          </w:tcPr>
          <w:p>
            <w:pPr>
              <w:keepNext/>
              <w:keepLines/>
              <w:spacing w:before="0" w:after="0"/>
            </w:pPr>
            <w:r>
              <w:rPr>
                <w:b/>
                <w:color w:val="FFFFFF"/>
                <w:sz w:val="16"/>
                <w:szCs w:val="16"/>
              </w:rPr>
              <w:t xml:space="preserve">Study tip · Clues to help answer</w:t>
            </w:r>
          </w:p>
        </w:tc>
      </w:tr>
      <w:tr>
        <w:trPr>
          <w:cantSplit/>
        </w:trPr>
        <w:tc>
          <w:tcPr>
            <w:tcW w:w="1800" w:type="dxa"/>
            <w:shd w:val="clear" w:color="auto" w:fill="DDEAF0"/>
            <w:vAlign w:val="top"/>
          </w:tcPr>
          <w:p>
            <w:pPr>
              <w:keepNext/>
              <w:keepLines/>
              <w:spacing w:before="0" w:after="0"/>
            </w:pPr>
            <w:r>
              <w:rPr>
                <w:b/>
                <w:color w:val="203040"/>
                <w:sz w:val="16"/>
                <w:szCs w:val="16"/>
              </w:rPr>
              <w:t xml:space="preserve">Clue</w:t>
            </w:r>
          </w:p>
        </w:tc>
        <w:tc>
          <w:tcPr>
            <w:tcW w:w="6100" w:type="dxa"/>
            <w:shd w:val="clear" w:color="auto" w:fill="DDEAF0"/>
            <w:vAlign w:val="top"/>
          </w:tcPr>
          <w:p>
            <w:pPr>
              <w:keepNext/>
              <w:keepLines/>
              <w:spacing w:before="0" w:after="0"/>
            </w:pPr>
            <w:r>
              <w:rPr>
                <w:b/>
                <w:color w:val="203040"/>
                <w:sz w:val="16"/>
                <w:szCs w:val="16"/>
              </w:rPr>
              <w:t xml:space="preserve">Gao Liang jiang</w:t>
            </w:r>
          </w:p>
        </w:tc>
        <w:tc>
          <w:tcPr>
            <w:tcW w:w="6100" w:type="dxa"/>
            <w:shd w:val="clear" w:color="auto" w:fill="DDEAF0"/>
            <w:vAlign w:val="top"/>
          </w:tcPr>
          <w:p>
            <w:pPr>
              <w:keepNext/>
              <w:keepLines/>
              <w:spacing w:before="0" w:after="0"/>
            </w:pPr>
            <w:r>
              <w:rPr>
                <w:b/>
                <w:color w:val="203040"/>
                <w:sz w:val="16"/>
                <w:szCs w:val="16"/>
              </w:rPr>
              <w:t xml:space="preserve">Sheng Jiang</w:t>
            </w:r>
          </w:p>
        </w:tc>
      </w:tr>
      <w:tr>
        <w:trPr>
          <w:cantSplit/>
        </w:trPr>
        <w:tc>
          <w:tcPr>
            <w:tcW w:w="1800" w:type="dxa"/>
            <w:shd w:val="clear" w:color="auto" w:fill="FFE4B8"/>
            <w:vAlign w:val="top"/>
          </w:tcPr>
          <w:p>
            <w:pPr>
              <w:keepNext/>
              <w:keepLines/>
              <w:spacing w:before="0" w:after="0"/>
            </w:pPr>
            <w:r>
              <w:rPr>
                <w:b/>
                <w:color w:val="8A3F0A"/>
                <w:sz w:val="16"/>
                <w:szCs w:val="16"/>
              </w:rPr>
              <w:t xml:space="preserve">Shared clues</w:t>
            </w:r>
          </w:p>
        </w:tc>
        <w:tc>
          <w:tcPr>
            <w:gridSpan w:val="2"/>
            <w:tcW w:w="12200" w:type="dxa"/>
            <w:shd w:val="clear" w:color="auto" w:fill="FFF6E8"/>
            <w:vAlign w:val="top"/>
          </w:tcPr>
          <w:p>
            <w:pPr>
              <w:keepNext/>
              <w:keepLines/>
              <w:spacing w:before="0" w:after="0"/>
            </w:pPr>
            <w:r>
              <w:rPr>
                <w:b/>
                <w:color w:val="8A3F0A"/>
                <w:sz w:val="16"/>
                <w:szCs w:val="16"/>
              </w:rPr>
              <w:t xml:space="preserve">Both herbs warm the middle, disperse cold, and settle nausea.</w:t>
            </w:r>
          </w:p>
        </w:tc>
      </w:tr>
      <w:tr>
        <w:trPr>
          <w:cantSplit/>
        </w:trPr>
        <w:tc>
          <w:tcPr>
            <w:tcW w:w="1800" w:type="dxa"/>
            <w:shd w:val="clear" w:color="auto" w:fill="F2F6F8"/>
            <w:vAlign w:val="top"/>
          </w:tcPr>
          <w:p>
            <w:pPr>
              <w:keepLines/>
              <w:spacing w:before="0" w:after="0"/>
            </w:pPr>
            <w:r>
              <w:rPr>
                <w:b/>
                <w:color w:val="17324D"/>
                <w:sz w:val="16"/>
                <w:szCs w:val="16"/>
              </w:rPr>
              <w:t xml:space="preserve">Symptoms / conditions</w:t>
            </w:r>
          </w:p>
        </w:tc>
        <w:tc>
          <w:tcPr>
            <w:tcW w:w="6100" w:type="dxa"/>
            <w:shd w:val="clear" w:color="auto" w:fill="FFFFFF"/>
            <w:vAlign w:val="top"/>
          </w:tcPr>
          <w:p>
            <w:pPr>
              <w:keepLines/>
              <w:spacing w:before="0" w:after="0"/>
            </w:pPr>
            <w:r>
              <w:rPr>
                <w:color w:val="203040"/>
                <w:sz w:val="16"/>
                <w:szCs w:val="16"/>
              </w:rPr>
              <w:t xml:space="preserve">• Abdominal pain</w:t>
            </w:r>
            <w:r>
              <w:br/>
            </w:r>
            <w:r>
              <w:rPr>
                <w:color w:val="203040"/>
                <w:sz w:val="16"/>
                <w:szCs w:val="16"/>
              </w:rPr>
              <w:t xml:space="preserve">• Vomiting</w:t>
            </w:r>
            <w:r>
              <w:br/>
            </w:r>
            <w:r>
              <w:rPr>
                <w:color w:val="203040"/>
                <w:sz w:val="16"/>
                <w:szCs w:val="16"/>
              </w:rPr>
              <w:t xml:space="preserve">• Diarrhea</w:t>
            </w:r>
            <w:r>
              <w:br/>
            </w:r>
            <w:r>
              <w:rPr>
                <w:color w:val="203040"/>
                <w:sz w:val="16"/>
                <w:szCs w:val="16"/>
              </w:rPr>
              <w:t xml:space="preserve">• Acid reflux</w:t>
            </w:r>
            <w:r>
              <w:br/>
            </w:r>
            <w:r>
              <w:rPr>
                <w:color w:val="203040"/>
                <w:sz w:val="16"/>
                <w:szCs w:val="16"/>
              </w:rPr>
              <w:t xml:space="preserve">• Loss of appetite</w:t>
            </w:r>
          </w:p>
        </w:tc>
        <w:tc>
          <w:tcPr>
            <w:tcW w:w="6100" w:type="dxa"/>
            <w:shd w:val="clear" w:color="auto" w:fill="FFFFFF"/>
            <w:vAlign w:val="top"/>
          </w:tcPr>
          <w:p>
            <w:pPr>
              <w:keepLines/>
              <w:spacing w:before="0" w:after="0"/>
            </w:pPr>
            <w:r>
              <w:rPr>
                <w:color w:val="203040"/>
                <w:sz w:val="16"/>
                <w:szCs w:val="16"/>
              </w:rPr>
              <w:t xml:space="preserve">• Common cold</w:t>
            </w:r>
            <w:r>
              <w:br/>
            </w:r>
            <w:r>
              <w:rPr>
                <w:color w:val="203040"/>
                <w:sz w:val="16"/>
                <w:szCs w:val="16"/>
              </w:rPr>
              <w:t xml:space="preserve">• Nasal congestion</w:t>
            </w:r>
            <w:r>
              <w:br/>
            </w:r>
            <w:r>
              <w:rPr>
                <w:color w:val="203040"/>
                <w:sz w:val="16"/>
                <w:szCs w:val="16"/>
              </w:rPr>
              <w:t xml:space="preserve">• Coughing</w:t>
            </w:r>
            <w:r>
              <w:br/>
            </w:r>
            <w:r>
              <w:rPr>
                <w:color w:val="203040"/>
                <w:sz w:val="16"/>
                <w:szCs w:val="16"/>
              </w:rPr>
              <w:t xml:space="preserve">• Food poisoning from seafood</w:t>
            </w:r>
            <w:r>
              <w:br/>
            </w:r>
            <w:r>
              <w:rPr>
                <w:color w:val="203040"/>
                <w:sz w:val="16"/>
                <w:szCs w:val="16"/>
              </w:rPr>
              <w:t xml:space="preserve">• Loss of appetite</w:t>
            </w:r>
            <w:r>
              <w:br/>
            </w:r>
            <w:r>
              <w:rPr>
                <w:color w:val="203040"/>
                <w:sz w:val="16"/>
                <w:szCs w:val="16"/>
              </w:rPr>
              <w:t xml:space="preserve">• Morning sickness</w:t>
            </w:r>
            <w:r>
              <w:br/>
            </w:r>
            <w:r>
              <w:rPr>
                <w:color w:val="203040"/>
                <w:sz w:val="16"/>
                <w:szCs w:val="16"/>
              </w:rPr>
              <w:t xml:space="preserve">• Vomiting</w:t>
            </w:r>
            <w:r>
              <w:br/>
            </w:r>
            <w:r>
              <w:rPr>
                <w:color w:val="203040"/>
                <w:sz w:val="16"/>
                <w:szCs w:val="16"/>
              </w:rPr>
              <w:t xml:space="preserve">• Phlegm</w:t>
            </w:r>
            <w:r>
              <w:br/>
            </w:r>
            <w:r>
              <w:rPr>
                <w:color w:val="203040"/>
                <w:sz w:val="16"/>
                <w:szCs w:val="16"/>
              </w:rPr>
              <w:t xml:space="preserve">• Drug poisoning</w:t>
            </w:r>
          </w:p>
        </w:tc>
      </w:tr>
    </w:tbl>
    <w:p>
      <w:pPr>
        <w:spacing w:before="0" w:after="30"/>
      </w:pPr>
      <w:r>
        <w:t xml:space="preserve"/>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1800"/>
        <w:gridCol w:w="6100"/>
        <w:gridCol w:w="6100"/>
      </w:tblGrid>
      <w:tr>
        <w:trPr>
          <w:cantSplit/>
        </w:trPr>
        <w:tc>
          <w:tcPr>
            <w:gridSpan w:val="3"/>
            <w:tcW w:w="14000" w:type="dxa"/>
            <w:shd w:val="clear" w:color="auto" w:fill="F47E2C"/>
            <w:vAlign w:val="top"/>
          </w:tcPr>
          <w:p>
            <w:pPr>
              <w:keepNext/>
              <w:keepLines/>
              <w:spacing w:before="0" w:after="0"/>
            </w:pPr>
            <w:r>
              <w:rPr>
                <w:b/>
                <w:color w:val="FFFFFF"/>
                <w:sz w:val="16"/>
                <w:szCs w:val="16"/>
              </w:rPr>
              <w:t xml:space="preserve">Comparative answer key</w:t>
            </w:r>
          </w:p>
        </w:tc>
      </w:tr>
      <w:tr>
        <w:trPr>
          <w:cantSplit/>
        </w:trPr>
        <w:tc>
          <w:tcPr>
            <w:tcW w:w="1800" w:type="dxa"/>
            <w:shd w:val="clear" w:color="auto" w:fill="DDEAF0"/>
            <w:vAlign w:val="top"/>
          </w:tcPr>
          <w:p>
            <w:pPr>
              <w:keepNext/>
              <w:keepLines/>
              <w:spacing w:before="0" w:after="0"/>
            </w:pPr>
            <w:r>
              <w:rPr>
                <w:b/>
                <w:color w:val="203040"/>
                <w:sz w:val="16"/>
                <w:szCs w:val="16"/>
              </w:rPr>
              <w:t xml:space="preserve">Compare</w:t>
            </w:r>
          </w:p>
        </w:tc>
        <w:tc>
          <w:tcPr>
            <w:tcW w:w="6100" w:type="dxa"/>
            <w:shd w:val="clear" w:color="auto" w:fill="DDEAF0"/>
            <w:vAlign w:val="top"/>
          </w:tcPr>
          <w:p>
            <w:pPr>
              <w:keepNext/>
              <w:keepLines/>
              <w:spacing w:before="0" w:after="0"/>
            </w:pPr>
            <w:r>
              <w:rPr>
                <w:b/>
                <w:color w:val="203040"/>
                <w:sz w:val="16"/>
                <w:szCs w:val="16"/>
              </w:rPr>
              <w:t xml:space="preserve">Alpiniae officinarum Rhizoma (gao liang jiang)</w:t>
            </w:r>
          </w:p>
        </w:tc>
        <w:tc>
          <w:tcPr>
            <w:tcW w:w="6100" w:type="dxa"/>
            <w:shd w:val="clear" w:color="auto" w:fill="DDEAF0"/>
            <w:vAlign w:val="top"/>
          </w:tcPr>
          <w:p>
            <w:pPr>
              <w:keepNext/>
              <w:keepLines/>
              <w:spacing w:before="0" w:after="0"/>
            </w:pPr>
            <w:r>
              <w:rPr>
                <w:b/>
                <w:color w:val="203040"/>
                <w:sz w:val="16"/>
                <w:szCs w:val="16"/>
              </w:rPr>
              <w:t xml:space="preserve">Zingiberis Rhizoma recens (sheng jiang)</w:t>
            </w:r>
          </w:p>
        </w:tc>
      </w:tr>
      <w:tr>
        <w:trPr>
          <w:cantSplit/>
        </w:trPr>
        <w:tc>
          <w:tcPr>
            <w:tcW w:w="1800" w:type="dxa"/>
            <w:shd w:val="clear" w:color="auto" w:fill="F2F6F8"/>
            <w:vAlign w:val="top"/>
          </w:tcPr>
          <w:p>
            <w:pPr>
              <w:keepNext/>
              <w:keepLines/>
              <w:spacing w:before="0" w:after="0"/>
            </w:pPr>
            <w:r>
              <w:rPr>
                <w:b/>
                <w:color w:val="17324D"/>
                <w:sz w:val="16"/>
                <w:szCs w:val="16"/>
              </w:rPr>
              <w:t xml:space="preserve">Category</w:t>
            </w:r>
          </w:p>
        </w:tc>
        <w:tc>
          <w:tcPr>
            <w:tcW w:w="6100" w:type="dxa"/>
            <w:shd w:val="clear" w:color="auto" w:fill="FFFFFF"/>
            <w:vAlign w:val="top"/>
          </w:tcPr>
          <w:p>
            <w:pPr>
              <w:keepNext/>
              <w:keepLines/>
              <w:spacing w:before="0" w:after="0"/>
            </w:pPr>
            <w:r>
              <w:rPr>
                <w:color w:val="203040"/>
                <w:sz w:val="16"/>
                <w:szCs w:val="16"/>
              </w:rPr>
              <w:t xml:space="preserve">Herbs that Warm the Interior and Expel Cold.</w:t>
            </w:r>
          </w:p>
        </w:tc>
        <w:tc>
          <w:tcPr>
            <w:tcW w:w="6100" w:type="dxa"/>
            <w:shd w:val="clear" w:color="auto" w:fill="FFFFFF"/>
            <w:vAlign w:val="top"/>
          </w:tcPr>
          <w:p>
            <w:pPr>
              <w:keepNext/>
              <w:keepLines/>
              <w:spacing w:before="0" w:after="0"/>
            </w:pPr>
            <w:r>
              <w:rPr>
                <w:color w:val="203040"/>
                <w:sz w:val="16"/>
                <w:szCs w:val="16"/>
              </w:rPr>
              <w:t xml:space="preserve">Warm, Acrid Herbs that Release the Exterior.</w:t>
            </w:r>
          </w:p>
        </w:tc>
      </w:tr>
      <w:tr>
        <w:trPr>
          <w:cantSplit/>
        </w:trPr>
        <w:tc>
          <w:tcPr>
            <w:tcW w:w="1800" w:type="dxa"/>
            <w:shd w:val="clear" w:color="auto" w:fill="F2F6F8"/>
            <w:vAlign w:val="top"/>
          </w:tcPr>
          <w:p>
            <w:pPr>
              <w:keepLines/>
              <w:spacing w:before="0" w:after="0"/>
            </w:pPr>
            <w:r>
              <w:rPr>
                <w:b/>
                <w:color w:val="17324D"/>
                <w:sz w:val="16"/>
                <w:szCs w:val="16"/>
              </w:rPr>
              <w:t xml:space="preserve">Formulas</w:t>
            </w:r>
          </w:p>
        </w:tc>
        <w:tc>
          <w:tcPr>
            <w:tcW w:w="6100" w:type="dxa"/>
            <w:shd w:val="clear" w:color="auto" w:fill="FFFFFF"/>
            <w:vAlign w:val="top"/>
          </w:tcPr>
          <w:p>
            <w:pPr>
              <w:keepLines/>
              <w:spacing w:before="0" w:after="0"/>
            </w:pPr>
            <w:r>
              <w:rPr>
                <w:color w:val="203040"/>
                <w:sz w:val="16"/>
                <w:szCs w:val="16"/>
              </w:rPr>
              <w:t xml:space="preserve">• Galangal and Cyperus Pill (liang fu wan)</w:t>
            </w:r>
            <w:r>
              <w:br/>
            </w:r>
            <w:r>
              <w:rPr>
                <w:color w:val="203040"/>
                <w:sz w:val="16"/>
                <w:szCs w:val="16"/>
              </w:rPr>
              <w:t xml:space="preserve">• Top Quality Lindera Powder (tian tai wu yao san)</w:t>
            </w:r>
          </w:p>
        </w:tc>
        <w:tc>
          <w:tcPr>
            <w:tcW w:w="6100" w:type="dxa"/>
            <w:shd w:val="clear" w:color="auto" w:fill="FFFFFF"/>
            <w:vAlign w:val="top"/>
          </w:tcPr>
          <w:p>
            <w:pPr>
              <w:keepLines/>
              <w:spacing w:before="0" w:after="0"/>
            </w:pPr>
            <w:r>
              <w:rPr>
                <w:color w:val="203040"/>
                <w:sz w:val="16"/>
                <w:szCs w:val="16"/>
              </w:rPr>
              <w:t xml:space="preserve">• Apricot Kernel and Perilla Leaf Powder (xing su san).</w:t>
            </w:r>
            <w:r>
              <w:br/>
            </w:r>
            <w:r>
              <w:rPr>
                <w:color w:val="203040"/>
                <w:sz w:val="16"/>
                <w:szCs w:val="16"/>
              </w:rPr>
              <w:t xml:space="preserve">• Cinnamon Twig Decoction (gui zhi tang)</w:t>
            </w:r>
            <w:r>
              <w:br/>
            </w:r>
            <w:r>
              <w:rPr>
                <w:color w:val="203040"/>
                <w:sz w:val="16"/>
                <w:szCs w:val="16"/>
              </w:rPr>
              <w:t xml:space="preserve">• Warm the Gallbladder Decoction (wen dan tang)</w:t>
            </w:r>
            <w:r>
              <w:br/>
            </w:r>
            <w:r>
              <w:rPr>
                <w:color w:val="203040"/>
                <w:sz w:val="16"/>
                <w:szCs w:val="16"/>
              </w:rPr>
              <w:t xml:space="preserve">• Restore the Spleen Decoction (gui pi tang)</w:t>
            </w:r>
            <w:r>
              <w:br/>
            </w:r>
            <w:r>
              <w:rPr>
                <w:color w:val="203040"/>
                <w:sz w:val="16"/>
                <w:szCs w:val="16"/>
              </w:rPr>
              <w:t xml:space="preserve">• Tangerine Peel and Bamboo Shavings Decoction (ju pi zhu ru tang)</w:t>
            </w:r>
            <w:r>
              <w:br/>
            </w:r>
            <w:r>
              <w:rPr>
                <w:color w:val="203040"/>
                <w:sz w:val="16"/>
                <w:szCs w:val="16"/>
              </w:rPr>
              <w:t xml:space="preserve">• Minor Bupleurum Decoction (xiao chai hu tang)</w:t>
            </w:r>
          </w:p>
        </w:tc>
      </w:tr>
    </w:tbl>
    <w:p>
      <w:pPr>
        <w:spacing w:before="0" w:after="30"/>
      </w:pPr>
      <w:r>
        <w:t xml:space="preserve"/>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2500"/>
        <w:gridCol w:w="11500"/>
      </w:tblGrid>
      <w:tr>
        <w:trPr>
          <w:cantSplit/>
        </w:trPr>
        <w:tc>
          <w:tcPr>
            <w:gridSpan w:val="2"/>
            <w:shd w:val="clear" w:color="auto" w:fill="6B4BA1"/>
          </w:tcPr>
          <w:p>
            <w:pPr>
              <w:keepNext/>
              <w:keepLines/>
              <w:spacing w:before="0" w:after="0"/>
            </w:pPr>
            <w:r>
              <w:rPr>
                <w:b/>
                <w:color w:val="FFFFFF"/>
                <w:sz w:val="18"/>
                <w:szCs w:val="18"/>
              </w:rPr>
              <w:t xml:space="preserve">Study guide · Exam focus</w:t>
            </w:r>
          </w:p>
        </w:tc>
      </w:tr>
      <w:tr>
        <w:trPr>
          <w:cantSplit/>
        </w:trPr>
        <w:tc>
          <w:tcPr>
            <w:tcW w:w="2500" w:type="dxa"/>
            <w:shd w:val="clear" w:color="auto" w:fill="F2F6F8"/>
            <w:vAlign w:val="top"/>
          </w:tcPr>
          <w:p>
            <w:pPr>
              <w:keepNext/>
              <w:keepLines/>
              <w:spacing w:before="0" w:after="0"/>
            </w:pPr>
            <w:r>
              <w:rPr>
                <w:b/>
                <w:color w:val="17324D"/>
                <w:sz w:val="16"/>
                <w:szCs w:val="16"/>
              </w:rPr>
              <w:t xml:space="preserve">Why it matters</w:t>
            </w:r>
          </w:p>
        </w:tc>
        <w:tc>
          <w:tcPr>
            <w:tcW w:w="11500" w:type="dxa"/>
            <w:shd w:val="clear" w:color="auto" w:fill="FFFFFF"/>
            <w:vAlign w:val="top"/>
          </w:tcPr>
          <w:p>
            <w:pPr>
              <w:keepNext/>
              <w:keepLines/>
              <w:spacing w:before="0" w:after="0"/>
            </w:pPr>
            <w:r>
              <w:rPr>
                <w:color w:val="203040"/>
                <w:sz w:val="16"/>
                <w:szCs w:val="16"/>
              </w:rPr>
              <w:t xml:space="preserve">Both herbs warm the middle, disperse cold, and settle nausea. The distinction matters because Gao Liang jiang is classified as Herbs that Warm the Interior and Expel Cold, while Sheng Jiang is classified as Warm, Acrid Herbs that Release the Exterior. The exam may test whether you move beyond the shared action and identify the correct clinical context.</w:t>
            </w:r>
          </w:p>
        </w:tc>
      </w:tr>
      <w:tr>
        <w:trPr>
          <w:cantSplit/>
        </w:trPr>
        <w:tc>
          <w:tcPr>
            <w:tcW w:w="2500" w:type="dxa"/>
            <w:shd w:val="clear" w:color="auto" w:fill="F2F6F8"/>
            <w:vAlign w:val="top"/>
          </w:tcPr>
          <w:p>
            <w:pPr>
              <w:keepNext/>
              <w:keepLines/>
              <w:spacing w:before="0" w:after="0"/>
            </w:pPr>
            <w:r>
              <w:rPr>
                <w:b/>
                <w:color w:val="17324D"/>
                <w:sz w:val="16"/>
                <w:szCs w:val="16"/>
              </w:rPr>
              <w:t xml:space="preserve">Common confusion</w:t>
            </w:r>
          </w:p>
        </w:tc>
        <w:tc>
          <w:tcPr>
            <w:tcW w:w="11500" w:type="dxa"/>
            <w:shd w:val="clear" w:color="auto" w:fill="FFFFFF"/>
            <w:vAlign w:val="top"/>
          </w:tcPr>
          <w:p>
            <w:pPr>
              <w:keepNext/>
              <w:keepLines/>
              <w:spacing w:before="0" w:after="0"/>
            </w:pPr>
            <w:r>
              <w:rPr>
                <w:color w:val="203040"/>
                <w:sz w:val="16"/>
                <w:szCs w:val="16"/>
              </w:rPr>
              <w:t xml:space="preserve">Vomiting, Loss of appetite appear in both clue sets, so those findings alone do not separate the herbs. Look for Abdominal pain, Diarrhea, Acid reflux to favor Gao Liang jiang, versus Common cold, Nasal congestion, Coughing to favor Sheng Jiang.</w:t>
            </w:r>
          </w:p>
        </w:tc>
      </w:tr>
      <w:tr>
        <w:trPr>
          <w:cantSplit/>
        </w:trPr>
        <w:tc>
          <w:tcPr>
            <w:tcW w:w="2500" w:type="dxa"/>
            <w:shd w:val="clear" w:color="auto" w:fill="F2F6F8"/>
            <w:vAlign w:val="top"/>
          </w:tcPr>
          <w:p>
            <w:pPr>
              <w:keepNext/>
              <w:keepLines/>
              <w:spacing w:before="0" w:after="0"/>
            </w:pPr>
            <w:r>
              <w:rPr>
                <w:b/>
                <w:color w:val="17324D"/>
                <w:sz w:val="16"/>
                <w:szCs w:val="16"/>
              </w:rPr>
              <w:t xml:space="preserve">How it may appear</w:t>
            </w:r>
          </w:p>
        </w:tc>
        <w:tc>
          <w:tcPr>
            <w:tcW w:w="11500" w:type="dxa"/>
            <w:shd w:val="clear" w:color="auto" w:fill="FFFFFF"/>
            <w:vAlign w:val="top"/>
          </w:tcPr>
          <w:p>
            <w:pPr>
              <w:keepNext/>
              <w:keepLines/>
              <w:spacing w:before="0" w:after="0"/>
            </w:pPr>
            <w:r>
              <w:rPr>
                <w:color w:val="203040"/>
                <w:sz w:val="16"/>
                <w:szCs w:val="16"/>
              </w:rPr>
              <w:t xml:space="preserve">A vignette emphasizing Abdominal pain, Diarrhea, Acid reflux could ask for the better match: Gao Liang jiang. A second vignette emphasizing Common cold, Nasal congestion, Coughing could point to Sheng Jiang. The same distinction may also appear as a category or formula-association question.</w:t>
            </w:r>
          </w:p>
        </w:tc>
      </w:tr>
      <w:tr>
        <w:trPr>
          <w:cantSplit/>
        </w:trPr>
        <w:tc>
          <w:tcPr>
            <w:tcW w:w="2500" w:type="dxa"/>
            <w:shd w:val="clear" w:color="auto" w:fill="F2F6F8"/>
            <w:vAlign w:val="top"/>
          </w:tcPr>
          <w:p>
            <w:pPr>
              <w:keepLines/>
              <w:spacing w:before="0" w:after="0"/>
            </w:pPr>
            <w:r>
              <w:rPr>
                <w:b/>
                <w:color w:val="17324D"/>
                <w:sz w:val="16"/>
                <w:szCs w:val="16"/>
              </w:rPr>
              <w:t xml:space="preserve">Why a switched match is wrong</w:t>
            </w:r>
          </w:p>
        </w:tc>
        <w:tc>
          <w:tcPr>
            <w:tcW w:w="11500" w:type="dxa"/>
            <w:shd w:val="clear" w:color="auto" w:fill="FFFFFF"/>
            <w:vAlign w:val="top"/>
          </w:tcPr>
          <w:p>
            <w:pPr>
              <w:keepLines/>
              <w:spacing w:before="0" w:after="0"/>
            </w:pPr>
            <w:r>
              <w:rPr>
                <w:color w:val="203040"/>
                <w:sz w:val="16"/>
                <w:szCs w:val="16"/>
              </w:rPr>
              <w:t xml:space="preserve">Reversing the match would attach the Herbs that Warm the Interior and Expel Cold associations to Sheng Jiang and the Warm, Acrid Herbs that Release the Exterior associations to Gao Liang jiang. That changes the source classification and makes the pairing incorrect.</w:t>
            </w:r>
          </w:p>
        </w:tc>
      </w:tr>
    </w:tbl>
    <w:p>
      <w:pPr>
        <w:spacing w:before="0" w:after="30"/>
      </w:pPr>
      <w:r>
        <w:t xml:space="preserve"/>
      </w:r>
    </w:p>
    <w:tbl>
      <w:tblPr>
        <w:tblW w:w="14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45" w:type="dxa"/>
          <w:left w:w="60" w:type="dxa"/>
          <w:bottom w:w="45" w:type="dxa"/>
          <w:right w:w="60" w:type="dxa"/>
        </w:tblCellMar>
      </w:tblPr>
      <w:tblGrid>
        <w:gridCol w:w="2500"/>
        <w:gridCol w:w="11500"/>
      </w:tblGrid>
      <w:tr>
        <w:trPr>
          <w:cantSplit/>
        </w:trPr>
        <w:tc>
          <w:tcPr>
            <w:gridSpan w:val="2"/>
            <w:shd w:val="clear" w:color="auto" w:fill="2E7D6B"/>
          </w:tcPr>
          <w:p>
            <w:pPr>
              <w:keepNext/>
              <w:keepLines/>
              <w:spacing w:before="0" w:after="0"/>
            </w:pPr>
            <w:r>
              <w:rPr>
                <w:b/>
                <w:color w:val="FFFFFF"/>
                <w:sz w:val="18"/>
                <w:szCs w:val="18"/>
              </w:rPr>
              <w:t xml:space="preserve">Possible exam questions · Study prompts</w:t>
            </w:r>
          </w:p>
        </w:tc>
      </w:tr>
      <w:tr>
        <w:trPr>
          <w:cantSplit/>
        </w:trPr>
        <w:tc>
          <w:tcPr>
            <w:tcW w:w="2500" w:type="dxa"/>
            <w:shd w:val="clear" w:color="auto" w:fill="F2F6F8"/>
            <w:vAlign w:val="top"/>
          </w:tcPr>
          <w:p>
            <w:pPr>
              <w:keepLines/>
              <w:spacing w:before="0" w:after="0"/>
            </w:pPr>
            <w:r>
              <w:rPr>
                <w:b/>
                <w:color w:val="17324D"/>
                <w:sz w:val="16"/>
                <w:szCs w:val="16"/>
              </w:rPr>
              <w:t xml:space="preserve">Practice</w:t>
            </w:r>
          </w:p>
        </w:tc>
        <w:tc>
          <w:tcPr>
            <w:tcW w:w="11500" w:type="dxa"/>
            <w:shd w:val="clear" w:color="auto" w:fill="FFFFFF"/>
            <w:vAlign w:val="top"/>
          </w:tcPr>
          <w:p>
            <w:pPr>
              <w:keepLines/>
              <w:spacing w:before="0" w:after="0"/>
            </w:pPr>
            <w:r>
              <w:rPr>
                <w:color w:val="203040"/>
                <w:sz w:val="16"/>
                <w:szCs w:val="16"/>
              </w:rPr>
              <w:t xml:space="preserve">• Which category belongs to Alpiniae officinarum Rhizoma (gao liang jiang), and which belongs to Zingiberis Rhizoma recens (sheng jiang)?</w:t>
            </w:r>
            <w:r>
              <w:br/>
            </w:r>
            <w:r>
              <w:rPr>
                <w:color w:val="203040"/>
                <w:sz w:val="16"/>
                <w:szCs w:val="16"/>
              </w:rPr>
              <w:t xml:space="preserve">• Which shared findings are least useful for distinguishing these two herbs?</w:t>
            </w:r>
            <w:r>
              <w:br/>
            </w:r>
            <w:r>
              <w:rPr>
                <w:color w:val="203040"/>
                <w:sz w:val="16"/>
                <w:szCs w:val="16"/>
              </w:rPr>
              <w:t xml:space="preserve">• Which symptom cluster most strongly favors each herb?</w:t>
            </w:r>
            <w:r>
              <w:br/>
            </w:r>
            <w:r>
              <w:rPr>
                <w:color w:val="203040"/>
                <w:sz w:val="16"/>
                <w:szCs w:val="16"/>
              </w:rPr>
              <w:t xml:space="preserve">• Which formula associations belong in each comparison column?</w:t>
            </w:r>
          </w:p>
        </w:tc>
      </w:tr>
    </w:tbl>
    <w:p>
      <w:pPr>
        <w:spacing w:before="0" w:after="30"/>
      </w:pPr>
      <w:r>
        <w:t xml:space="preserve"/>
      </w:r>
    </w:p>
    <w:p>
      <w:pPr>
        <w:spacing w:before="0" w:after="20"/>
      </w:pPr>
      <w:r>
        <w:t xml:space="preserve"/>
      </w:r>
    </w:p>
    <w:sectPr>
      <w:pgSz w:w="15840" w:h="12240" w:orient="landscape"/>
      <w:pgMar w:top="420" w:right="600" w:bottom="480" w:left="600" w:header="240" w:footer="2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16"/>
      </w:rPr>
    </w:rPrDefault>
  </w:docDefaults>
  <w:style w:type="paragraph" w:default="1" w:styleId="Normal">
    <w:name w:val="Normal"/>
    <w:pPr>
      <w:spacing w:after="100" w:line="205"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30" w:after="60"/>
      <w:pBdr>
        <w:bottom w:val="single" w:sz="16" w:space="8" w:color="F47E2C"/>
      </w:pBdr>
    </w:pPr>
    <w:rPr>
      <w:b/>
      <w:color w:val="17324D"/>
      <w:sz w:val="24"/>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2026-10-24T18:33:32+00:00</dcterms:created>
  <dcterms:modified xsi:type="dcterms:W3CDTF">2026-10-24T18:33:32+00:00</dcterms:modified>
</cp:coreProperties>
</file>