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20"/>
      </w:pPr>
      <w:r>
        <w:t xml:space="preserve"/>
      </w:r>
    </w:p>
    <w:p>
      <w:pPr>
        <w:pStyle w:val="BookBrand"/>
        <w:spacing w:before="0" w:after="260"/>
        <w:jc w:val="center"/>
      </w:pPr>
      <w:r>
        <w:t xml:space="preserve">ACUPUNCTURETESTS</w:t>
      </w:r>
    </w:p>
    <w:p>
      <w:pPr>
        <w:pStyle w:val="Title"/>
        <w:keepLines/>
        <w:spacing w:before="180" w:after="220"/>
        <w:jc w:val="center"/>
      </w:pPr>
      <w:r>
        <w:t xml:space="preserve">General Cautions and Adverse Responses (Mock 10)</w:t>
      </w:r>
    </w:p>
    <w:p>
      <w:pPr>
        <w:pStyle w:val="BookSubtitle"/>
        <w:spacing w:before="0" w:after="420"/>
        <w:jc w:val="center"/>
      </w:pPr>
      <w:r>
        <w:rPr>
          <w:color w:val="527286"/>
          <w:sz w:val="26"/>
          <w:szCs w:val="26"/>
        </w:rPr>
        <w:t xml:space="preserve">Exam Review Book · Instructor Edition</w:t>
      </w:r>
    </w:p>
    <w:p>
      <w:pPr>
        <w:keepLines/>
        <w:spacing w:before="120" w:after="220"/>
        <w:ind w:left="720" w:right="720"/>
        <w:shd w:val="clear" w:color="auto" w:fill="E8F3F5"/>
        <w:pBdr>
          <w:left w:val="single" w:sz="20" w:space="8" w:color="F47E2C"/>
        </w:pBdr>
      </w:pPr>
      <w:r>
        <w:rPr>
          <w:color w:val="31586B"/>
        </w:rPr>
        <w:t xml:space="preserve">Course: Point Contraindications</w:t>
      </w:r>
      <w:r>
        <w:br/>
      </w:r>
      <w:r>
        <w:rPr>
          <w:color w:val="31586B"/>
        </w:rPr>
        <w:t xml:space="preserve">Section: General Cautions and Adverse Responses</w:t>
      </w:r>
      <w:r>
        <w:br/>
      </w:r>
      <w:r>
        <w:rPr>
          <w:color w:val="31586B"/>
        </w:rPr>
        <w:t xml:space="preserve">Questions: 10</w:t>
      </w:r>
      <w:r>
        <w:br/>
      </w:r>
      <w:r>
        <w:rPr>
          <w:color w:val="31586B"/>
        </w:rPr>
        <w:t xml:space="preserve">Source CMID: 9385</w:t>
      </w:r>
    </w:p>
    <w:p>
      <w:pPr>
        <w:spacing w:before="0" w:after="240"/>
        <w:jc w:val="center"/>
      </w:pPr>
      <w:r>
        <w:rPr>
          <w:i/>
          <w:color w:val="8A3F0A"/>
        </w:rPr>
        <w:t xml:space="preserve">Answer key and source feedback are included for instructor review.</w:t>
      </w:r>
    </w:p>
    <w:p>
      <w:r>
        <w:br w:type="page"/>
      </w:r>
    </w:p>
    <w:p>
      <w:pPr>
        <w:pStyle w:val="Heading1"/>
        <w:spacing w:before="0" w:after="180"/>
      </w:pPr>
      <w:r>
        <w:t xml:space="preserve">Contents</w:t>
      </w:r>
    </w:p>
    <w:p>
      <w:pPr>
        <w:spacing w:before="0" w:after="180"/>
      </w:pPr>
      <w:r>
        <w:rPr>
          <w:color w:val="527286"/>
        </w:rPr>
        <w:t xml:space="preserve">This study book is arranged in groups of up to ten questions for easier reading and review.</w:t>
      </w:r>
    </w:p>
    <w:p>
      <w:pPr>
        <w:keepLines/>
        <w:spacing w:before="0" w:after="80"/>
        <w:ind w:left="180" w:right="120"/>
        <w:shd w:val="clear" w:color="auto" w:fill="F7F9FB"/>
        <w:pBdr>
          <w:left w:val="single" w:sz="20" w:space="8" w:color="F47E2C"/>
        </w:pBdr>
      </w:pPr>
      <w:r>
        <w:rPr>
          <w:b/>
          <w:color w:val="17324D"/>
        </w:rPr>
        <w:t xml:space="preserve">Chapter 1  ·  Questions 1–10</w:t>
      </w:r>
    </w:p>
    <w:p>
      <w:r>
        <w:br w:type="page"/>
      </w:r>
    </w:p>
    <w:p>
      <w:pPr>
        <w:pStyle w:val="Heading1"/>
        <w:spacing w:before="0" w:after="220"/>
      </w:pPr>
      <w:r>
        <w:t xml:space="preserve">Chapter 1 · Questions 1–10</w:t>
      </w:r>
    </w:p>
    <w:p>
      <w:pPr>
        <w:pStyle w:val="Heading2"/>
        <w:spacing w:before="0" w:after="70"/>
      </w:pPr>
      <w:r>
        <w:t xml:space="preserve">Question 1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A patient reports hunger, fatigue and light-headedness before treatment. What is the best classification?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A patient-screening concern that should be assessed before proceeding.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A fixed contraindication attached to every acupuncture point.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Proof of pneumothorax.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A historical moxibustion restriction.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A patient-screening concern that should be assessed before proceeding.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Symptoms present before treatment belong first to screening and baseline assessment.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A fixed contraindication attached to every acupuncture point.</w:t>
      </w:r>
      <w:r>
        <w:br/>
      </w:r>
      <w:r>
        <w:rPr>
          <w:color w:val="6B3030"/>
        </w:rPr>
        <w:t xml:space="preserve">The concern comes from the patient’s current condition, not every point.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Proof of pneumothorax.</w:t>
      </w:r>
      <w:r>
        <w:br/>
      </w:r>
      <w:r>
        <w:rPr>
          <w:color w:val="6B3030"/>
        </w:rPr>
        <w:t xml:space="preserve">The scenario does not provide thoracic symptoms or a treatment-related event.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A historical moxibustion restriction.</w:t>
      </w:r>
      <w:r>
        <w:br/>
      </w:r>
      <w:r>
        <w:rPr>
          <w:color w:val="6B3030"/>
        </w:rPr>
        <w:t xml:space="preserve">No named modality or historical source is involved.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2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Which cluster most strongly suggests a fainting-type adverse response during care?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Localized itching alone.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Gradual study fatigue after reading.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A remembered point name without symptoms.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Dizziness, nausea, pallor and cold sweating.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Dizziness, nausea, pallor and cold sweating.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This cluster matches the recognition pattern described in the supplied safety source.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Localized itching alone.</w:t>
      </w:r>
      <w:r>
        <w:br/>
      </w:r>
      <w:r>
        <w:rPr>
          <w:color w:val="6B3030"/>
        </w:rPr>
        <w:t xml:space="preserve">A single local skin symptom does not match the systemic cluster.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Gradual study fatigue after reading.</w:t>
      </w:r>
      <w:r>
        <w:br/>
      </w:r>
      <w:r>
        <w:rPr>
          <w:color w:val="6B3030"/>
        </w:rPr>
        <w:t xml:space="preserve">Study fatigue is not an acute clinical event.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A remembered point name without symptoms.</w:t>
      </w:r>
      <w:r>
        <w:br/>
      </w:r>
      <w:r>
        <w:rPr>
          <w:color w:val="6B3030"/>
        </w:rPr>
        <w:t xml:space="preserve">A point name alone does not identify an adverse response.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3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A short chart labels a point “contraindicated” but gives no mechanism or date. What should the learner do?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Ignore the warning because it is old.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Replace it with a mnemonic.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Verify the complete point entry and current safety guidance.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Treat the label as an absolute rule in every context.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Verify the complete point entry and current safety guidance.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A brief legacy label is insufficient for a current universal claim.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Ignore the warning because it is old.</w:t>
      </w:r>
      <w:r>
        <w:br/>
      </w:r>
      <w:r>
        <w:rPr>
          <w:color w:val="6B3030"/>
        </w:rPr>
        <w:t xml:space="preserve">Historical material can still flag a real issue that requires verification.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Replace it with a mnemonic.</w:t>
      </w:r>
      <w:r>
        <w:br/>
      </w:r>
      <w:r>
        <w:rPr>
          <w:color w:val="6B3030"/>
        </w:rPr>
        <w:t xml:space="preserve">A mnemonic cannot establish current clinical guidance.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Treat the label as an absolute rule in every context.</w:t>
      </w:r>
      <w:r>
        <w:br/>
      </w:r>
      <w:r>
        <w:rPr>
          <w:color w:val="6B3030"/>
        </w:rPr>
        <w:t xml:space="preserve">The missing mechanism and source status prevent that conclusion.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4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Which factor belongs to the local-site screen?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The number of points in the channel.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Active infection or damaged tissue at the intended site.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The learner’s last examination score.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The color used in a pathway diagram.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Active infection or damaged tissue at the intended site.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Local pathology is assessed separately from channel identity.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The number of points in the channel.</w:t>
      </w:r>
      <w:r>
        <w:br/>
      </w:r>
      <w:r>
        <w:rPr>
          <w:color w:val="6B3030"/>
        </w:rPr>
        <w:t xml:space="preserve">Channel length is unrelated to local tissue integrity.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The learner’s last examination score.</w:t>
      </w:r>
      <w:r>
        <w:br/>
      </w:r>
      <w:r>
        <w:rPr>
          <w:color w:val="6B3030"/>
        </w:rPr>
        <w:t xml:space="preserve">An exam score is not a patient-site factor.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The color used in a pathway diagram.</w:t>
      </w:r>
      <w:r>
        <w:br/>
      </w:r>
      <w:r>
        <w:rPr>
          <w:color w:val="6B3030"/>
        </w:rPr>
        <w:t xml:space="preserve">Diagram color does not describe tissue condition.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5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Why should an unexpected electric shock-like sensation be classified separately from bleeding?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It may indicate direct nerve stimulation rather than vessel involvement.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It always proves normal deqi.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It identifies pregnancy.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It is only a moxa reaction.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It may indicate direct nerve stimulation rather than vessel involvement.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Neural and vascular warning cues have different anatomical mechanisms.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It always proves normal deqi.</w:t>
      </w:r>
      <w:r>
        <w:br/>
      </w:r>
      <w:r>
        <w:rPr>
          <w:color w:val="6B3030"/>
        </w:rPr>
        <w:t xml:space="preserve">An unexpected electrical sensation requires caution and assessment.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It identifies pregnancy.</w:t>
      </w:r>
      <w:r>
        <w:br/>
      </w:r>
      <w:r>
        <w:rPr>
          <w:color w:val="6B3030"/>
        </w:rPr>
        <w:t xml:space="preserve">It is a sensory cue, not a pregnancy screen.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It is only a moxa reaction.</w:t>
      </w:r>
      <w:r>
        <w:br/>
      </w:r>
      <w:r>
        <w:rPr>
          <w:color w:val="6B3030"/>
        </w:rPr>
        <w:t xml:space="preserve">The scenario concerns needling sensation, not heat.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6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Which statement best distinguishes an adverse event from a pre-existing symptom?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Any symptom after treatment was caused by treatment.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Symptoms before treatment can be ignored.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The point name determines causation by itself.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Document timing and baseline findings before assigning causation.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Document timing and baseline findings before assigning causation.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Temporal sequence and baseline documentation prevent unsupported causal claims.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Any symptom after treatment was caused by treatment.</w:t>
      </w:r>
      <w:r>
        <w:br/>
      </w:r>
      <w:r>
        <w:rPr>
          <w:color w:val="6B3030"/>
        </w:rPr>
        <w:t xml:space="preserve">Timing alone does not prove causation.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Symptoms before treatment can be ignored.</w:t>
      </w:r>
      <w:r>
        <w:br/>
      </w:r>
      <w:r>
        <w:rPr>
          <w:color w:val="6B3030"/>
        </w:rPr>
        <w:t xml:space="preserve">Baseline symptoms are essential to assessment.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The point name determines causation by itself.</w:t>
      </w:r>
      <w:r>
        <w:br/>
      </w:r>
      <w:r>
        <w:rPr>
          <w:color w:val="6B3030"/>
        </w:rPr>
        <w:t xml:space="preserve">A point name cannot establish causality.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7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A learner sees the terms stuck, bent and broken needle in a source. What is the safest educational use?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Practice removal techniques from the summary alone.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Classify all three as pregnancy issues.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Recognize them as distinct events and follow the current supervised protocol.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Infer a single identical response for all three.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Recognize them as distinct events and follow the current supervised protocol.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The chapter supports recognition and escalation, not independent procedural management.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Practice removal techniques from the summary alone.</w:t>
      </w:r>
      <w:r>
        <w:br/>
      </w:r>
      <w:r>
        <w:rPr>
          <w:color w:val="6B3030"/>
        </w:rPr>
        <w:t xml:space="preserve">Procedural management requires complete training and supervision.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Classify all three as pregnancy issues.</w:t>
      </w:r>
      <w:r>
        <w:br/>
      </w:r>
      <w:r>
        <w:rPr>
          <w:color w:val="6B3030"/>
        </w:rPr>
        <w:t xml:space="preserve">They are instrument or movement events, not pregnancy categories.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Infer a single identical response for all three.</w:t>
      </w:r>
      <w:r>
        <w:br/>
      </w:r>
      <w:r>
        <w:rPr>
          <w:color w:val="6B3030"/>
        </w:rPr>
        <w:t xml:space="preserve">The events have different mechanisms and implications.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8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Which statement about hematoma study is most accurate?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Assume it is caused by a nerve.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Connect the finding to possible vessel injury and current adverse-event guidance.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Treat every discoloration as an arterial emergency.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Memorize only the point name.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Connect the finding to possible vessel injury and current adverse-event guidance.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The useful Board-level relationship is event recognition plus appropriate protocol.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Assume it is caused by a nerve.</w:t>
      </w:r>
      <w:r>
        <w:br/>
      </w:r>
      <w:r>
        <w:rPr>
          <w:color w:val="6B3030"/>
        </w:rPr>
        <w:t xml:space="preserve">Hematoma is principally a bleeding or vessel-related finding.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Treat every discoloration as an arterial emergency.</w:t>
      </w:r>
      <w:r>
        <w:br/>
      </w:r>
      <w:r>
        <w:rPr>
          <w:color w:val="6B3030"/>
        </w:rPr>
        <w:t xml:space="preserve">Appearance alone does not establish the vessel or severity.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Memorize only the point name.</w:t>
      </w:r>
      <w:r>
        <w:br/>
      </w:r>
      <w:r>
        <w:rPr>
          <w:color w:val="6B3030"/>
        </w:rPr>
        <w:t xml:space="preserve">Mechanism and presentation matter in clinical vignettes.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9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A question mentions pregnancy and a thoracic point. How should the risks be organized?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Record pregnancy context and thoracic anatomy as separate factors.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Choose pregnancy and ignore anatomy.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Choose pleura and ignore the patient.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Combine both into a modality restriction.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Record pregnancy context and thoracic anatomy as separate factors.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One patient-context label does not replace a second anatomical risk analysis.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Choose pregnancy and ignore anatomy.</w:t>
      </w:r>
      <w:r>
        <w:br/>
      </w:r>
      <w:r>
        <w:rPr>
          <w:color w:val="6B3030"/>
        </w:rPr>
        <w:t xml:space="preserve">Both independent dimensions remain relevant.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Choose pleura and ignore the patient.</w:t>
      </w:r>
      <w:r>
        <w:br/>
      </w:r>
      <w:r>
        <w:rPr>
          <w:color w:val="6B3030"/>
        </w:rPr>
        <w:t xml:space="preserve">Patient context must still be screened.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D) Combine both into a modality restriction.</w:t>
      </w:r>
      <w:r>
        <w:br/>
      </w:r>
      <w:r>
        <w:rPr>
          <w:color w:val="6B3030"/>
        </w:rPr>
        <w:t xml:space="preserve">Neither factor automatically identifies a named modality.</w:t>
      </w:r>
    </w:p>
    <w:p>
      <w:pPr>
        <w:spacing w:before="0" w:after="160"/>
      </w:pPr>
      <w:r>
        <w:t xml:space="preserve"/>
      </w:r>
    </w:p>
    <w:p>
      <w:pPr>
        <w:pStyle w:val="Heading2"/>
        <w:spacing w:before="0" w:after="70"/>
      </w:pPr>
      <w:r>
        <w:t xml:space="preserve">Question 10</w:t>
      </w:r>
    </w:p>
    <w:p>
      <w:pPr>
        <w:keepNext/>
        <w:spacing w:before="0" w:after="70"/>
        <w:ind w:left="180" w:right="0"/>
      </w:pPr>
      <w:r>
        <w:rPr>
          <w:i/>
          <w:color w:val="527286"/>
          <w:sz w:val="18"/>
          <w:szCs w:val="18"/>
        </w:rPr>
        <w:t xml:space="preserve">Multiple Choice</w:t>
      </w:r>
    </w:p>
    <w:p>
      <w:pPr>
        <w:keepLines/>
        <w:spacing w:before="0" w:after="150"/>
        <w:ind w:left="180" w:right="120"/>
      </w:pPr>
      <w:r>
        <w:rPr>
          <w:b/>
          <w:sz w:val="22"/>
          <w:szCs w:val="22"/>
        </w:rPr>
        <w:t xml:space="preserve">What is the strongest first step in the SAFER framework?</w:t>
      </w:r>
    </w:p>
    <w:p>
      <w:pPr>
        <w:keepNext/>
        <w:spacing w:before="0" w:after="100"/>
      </w:pPr>
      <w:r>
        <w:rPr>
          <w:b/>
          <w:color w:val="17324D"/>
        </w:rPr>
        <w:t xml:space="preserve">Options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A) Select a point from memory.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B) Jump to the final reflection.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C) Assume the old bank contains the complete rule.</w:t>
      </w:r>
    </w:p>
    <w:p>
      <w:pPr>
        <w:keepLines/>
        <w:spacing w:before="0" w:after="55"/>
        <w:ind w:left="180" w:right="120"/>
        <w:shd w:val="clear" w:color="auto" w:fill="F7F9FB"/>
      </w:pPr>
      <w:r>
        <w:t xml:space="preserve">D) Screen the patient, site, symptoms and modality context.</w:t>
      </w:r>
    </w:p>
    <w:p>
      <w:pPr>
        <w:keepLines/>
        <w:spacing w:before="80" w:after="120"/>
        <w:ind w:left="180" w:right="120"/>
        <w:shd w:val="clear" w:color="auto" w:fill="EAF6EE"/>
        <w:pBdr>
          <w:left w:val="single" w:sz="20" w:space="8" w:color="2E8B57"/>
        </w:pBdr>
      </w:pPr>
      <w:r>
        <w:rPr>
          <w:b/>
          <w:color w:val="167A3A"/>
        </w:rPr>
        <w:t xml:space="preserve">Correct answer: Screen the patient, site, symptoms and modality context.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correct answer is correct</w:t>
      </w:r>
    </w:p>
    <w:p>
      <w:pPr>
        <w:keepLines/>
        <w:spacing w:before="0" w:after="100"/>
        <w:ind w:left="180" w:right="120"/>
        <w:shd w:val="clear" w:color="auto" w:fill="EAF6EE"/>
        <w:pBdr>
          <w:left w:val="single" w:sz="20" w:space="8" w:color="2E8B57"/>
        </w:pBdr>
      </w:pPr>
      <w:r>
        <w:rPr>
          <w:color w:val="245B38"/>
        </w:rPr>
        <w:t xml:space="preserve">Screening establishes the information needed before anatomical classification and source review.</w:t>
      </w:r>
    </w:p>
    <w:p>
      <w:pPr>
        <w:keepNext/>
        <w:spacing w:before="100" w:after="50"/>
      </w:pPr>
      <w:r>
        <w:rPr>
          <w:b/>
          <w:color w:val="17324D"/>
        </w:rPr>
        <w:t xml:space="preserve">Why the other options are incorrect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A) Select a point from memory.</w:t>
      </w:r>
      <w:r>
        <w:br/>
      </w:r>
      <w:r>
        <w:rPr>
          <w:color w:val="6B3030"/>
        </w:rPr>
        <w:t xml:space="preserve">Selection before screening skips essential context.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B) Jump to the final reflection.</w:t>
      </w:r>
      <w:r>
        <w:br/>
      </w:r>
      <w:r>
        <w:rPr>
          <w:color w:val="6B3030"/>
        </w:rPr>
        <w:t xml:space="preserve">Reflection follows learning and assessment.</w:t>
      </w:r>
    </w:p>
    <w:p>
      <w:pPr>
        <w:keepLines/>
        <w:spacing w:before="0" w:after="80"/>
        <w:ind w:left="180" w:right="120"/>
        <w:shd w:val="clear" w:color="auto" w:fill="FDF1F1"/>
        <w:pBdr>
          <w:left w:val="single" w:sz="20" w:space="8" w:color="C96D6D"/>
        </w:pBdr>
      </w:pPr>
      <w:r>
        <w:rPr>
          <w:color w:val="6B3030"/>
        </w:rPr>
        <w:t xml:space="preserve">C) Assume the old bank contains the complete rule.</w:t>
      </w:r>
      <w:r>
        <w:br/>
      </w:r>
      <w:r>
        <w:rPr>
          <w:color w:val="6B3030"/>
        </w:rPr>
        <w:t xml:space="preserve">A short bank is not a substitute for a complete current source.</w:t>
      </w:r>
    </w:p>
    <w:p>
      <w:pPr>
        <w:spacing w:before="0" w:after="160"/>
      </w:pPr>
      <w:r>
        <w:t xml:space="preserve"/>
      </w:r>
    </w:p>
    <w:sectPr>
      <w:pgSz w:w="12240" w:h="15840"/>
      <w:pgMar w:top="1080" w:right="900" w:bottom="1080" w:left="900" w:header="540" w:footer="540" w:gutter="0"/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pPr>
      <w:jc w:val="center"/>
      <w:spacing w:before="80"/>
      <w:pBdr>
        <w:top w:val="single" w:sz="8" w:space="6" w:color="D8E2E8"/>
      </w:pBdr>
    </w:pPr>
    <w:r>
      <w:rPr>
        <w:color w:val="527286"/>
        <w:sz w:val="17"/>
      </w:rPr>
      <w:t xml:space="preserve">AcupunctureTests  •  Page </w:t>
    </w:r>
    <w:fldSimple w:instr=" PAGE ">
      <w:r>
        <w:rPr>
          <w:color w:val="527286"/>
          <w:sz w:val="17"/>
        </w:rP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  <w:spacing w:after="80"/>
      <w:pBdr>
        <w:bottom w:val="single" w:sz="12" w:space="6" w:color="F47E2C"/>
      </w:pBdr>
    </w:pPr>
    <w:r>
      <w:rPr>
        <w:b/>
        <w:color w:val="527286"/>
        <w:sz w:val="17"/>
      </w:rPr>
      <w:t>General Cautions and Adverse Responses (Mock 10)</w:t>
    </w:r>
  </w:p>
</w:hdr>
</file>

<file path=word/settings.xml><?xml version="1.0" encoding="utf-8"?>
<w:settings xmlns:w="http://schemas.openxmlformats.org/wordprocessingml/2006/main">
  <w:compat/>
  <w:doNotTrackMoves/>
  <w:doNotTrackFormatting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color w:val="203040"/>
        <w:sz w:val="21"/>
      </w:rPr>
    </w:rPrDefault>
  </w:docDefaults>
  <w:style w:type="paragraph" w:default="1" w:styleId="Normal">
    <w:name w:val="Normal"/>
    <w:pPr>
      <w:spacing w:after="100" w:line="276" w:lineRule="auto"/>
    </w:pPr>
  </w:style>
  <w:style w:type="paragraph" w:styleId="BookBrand">
    <w:name w:val="Book Brand"/>
    <w:basedOn w:val="Normal"/>
    <w:pPr>
      <w:spacing w:after="260"/>
      <w:jc w:val="center"/>
    </w:pPr>
    <w:rPr>
      <w:b/>
      <w:color w:val="F47E2C"/>
      <w:sz w:val="22"/>
      <w:caps/>
    </w:rPr>
  </w:style>
  <w:style w:type="paragraph" w:styleId="Title">
    <w:name w:val="Title"/>
    <w:basedOn w:val="Normal"/>
    <w:next w:val="BookSubtitle"/>
    <w:pPr>
      <w:spacing w:before="240" w:after="240"/>
      <w:jc w:val="center"/>
      <w:keepNext/>
    </w:pPr>
    <w:rPr>
      <w:b/>
      <w:color w:val="17324D"/>
      <w:sz w:val="48"/>
    </w:rPr>
  </w:style>
  <w:style w:type="paragraph" w:styleId="BookSubtitle">
    <w:name w:val="Book Subtitle"/>
    <w:basedOn w:val="Normal"/>
    <w:pPr>
      <w:spacing w:after="360"/>
      <w:jc w:val="center"/>
    </w:pPr>
    <w:rPr>
      <w:color w:val="527286"/>
      <w:sz w:val="26"/>
    </w:rPr>
  </w:style>
  <w:style w:type="paragraph" w:styleId="Heading1">
    <w:name w:val="heading 1"/>
    <w:basedOn w:val="Normal"/>
    <w:next w:val="Normal"/>
    <w:pPr>
      <w:keepNext/>
      <w:keepLines/>
      <w:spacing w:before="180" w:after="180"/>
      <w:pBdr>
        <w:bottom w:val="single" w:sz="16" w:space="8" w:color="F47E2C"/>
      </w:pBdr>
    </w:pPr>
    <w:rPr>
      <w:b/>
      <w:color w:val="17324D"/>
      <w:sz w:val="32"/>
    </w:rPr>
  </w:style>
  <w:style w:type="paragraph" w:styleId="Heading2">
    <w:name w:val="heading 2"/>
    <w:basedOn w:val="Normal"/>
    <w:next w:val="Normal"/>
    <w:pPr>
      <w:keepNext/>
      <w:keepLines/>
      <w:spacing w:before="220" w:after="100"/>
      <w:shd w:val="clear" w:color="auto" w:fill="E8F3F5"/>
      <w:pBdr>
        <w:left w:val="single" w:sz="28" w:space="8" w:color="F47E2C"/>
      </w:pBdr>
    </w:pPr>
    <w:rPr>
      <w:b/>
      <w:color w:val="17324D"/>
      <w:sz w:val="26"/>
    </w:rPr>
  </w:style>
</w:styles>
</file>

<file path=word/_rels/document.xml.rels><?xml version="1.0" encoding="UTF-8" standalone="yes"?>
<Relationships xmlns="http://schemas.openxmlformats.org/package/2006/relationships">
 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AcupunctureTests SCORM Word Exporter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Cautions and Adverse Responses (Mock 10)</dc:title>
  <dc:creator>AcupunctureTests</dc:creator>
  <cp:lastModifiedBy>AcupunctureTests SCORM Word Exporter</cp:lastModifiedBy>
  <dcterms:created xsi:type="dcterms:W3CDTF">2026-10-24T16:44:20+00:00</dcterms:created>
  <dcterms:modified xsi:type="dcterms:W3CDTF">2026-10-24T16:44:20+00:00</dcterms:modified>
</cp:coreProperties>
</file>