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20"/>
      </w:pPr>
      <w:r>
        <w:t xml:space="preserve"/>
      </w:r>
    </w:p>
    <w:p>
      <w:pPr>
        <w:pStyle w:val="BookBrand"/>
        <w:spacing w:before="0" w:after="260"/>
        <w:jc w:val="center"/>
      </w:pPr>
      <w:r>
        <w:t xml:space="preserve">ACUPUNCTURETESTS</w:t>
      </w:r>
    </w:p>
    <w:p>
      <w:pPr>
        <w:pStyle w:val="Title"/>
        <w:keepLines/>
        <w:spacing w:before="180" w:after="220"/>
        <w:jc w:val="center"/>
      </w:pPr>
      <w:r>
        <w:t xml:space="preserve">General Cautions and Adverse Responses (Mock 10)</w:t>
      </w:r>
    </w:p>
    <w:p>
      <w:pPr>
        <w:pStyle w:val="BookSubtitle"/>
        <w:spacing w:before="0" w:after="420"/>
        <w:jc w:val="center"/>
      </w:pPr>
      <w:r>
        <w:rPr>
          <w:color w:val="527286"/>
          <w:sz w:val="26"/>
          <w:szCs w:val="26"/>
        </w:rPr>
        <w:t xml:space="preserve">Exam Review Book · Instructor Edition</w:t>
      </w:r>
    </w:p>
    <w:p>
      <w:pPr>
        <w:keepLines/>
        <w:spacing w:before="120" w:after="220"/>
        <w:ind w:left="720" w:right="720"/>
        <w:shd w:val="clear" w:color="auto" w:fill="E8F3F5"/>
        <w:pBdr>
          <w:left w:val="single" w:sz="20" w:space="8" w:color="F47E2C"/>
        </w:pBdr>
      </w:pPr>
      <w:r>
        <w:rPr>
          <w:color w:val="31586B"/>
        </w:rPr>
        <w:t xml:space="preserve">Course: Point Contraindications</w:t>
      </w:r>
      <w:r>
        <w:br/>
      </w:r>
      <w:r>
        <w:rPr>
          <w:color w:val="31586B"/>
        </w:rPr>
        <w:t xml:space="preserve">Section: General Cautions and Adverse Responses</w:t>
      </w:r>
      <w:r>
        <w:br/>
      </w:r>
      <w:r>
        <w:rPr>
          <w:color w:val="31586B"/>
        </w:rPr>
        <w:t xml:space="preserve">Questions: 10</w:t>
      </w:r>
      <w:r>
        <w:br/>
      </w:r>
      <w:r>
        <w:rPr>
          <w:color w:val="31586B"/>
        </w:rPr>
        <w:t xml:space="preserve">Source CMID: 9385</w:t>
      </w:r>
    </w:p>
    <w:p>
      <w:pPr>
        <w:spacing w:before="0" w:after="240"/>
        <w:jc w:val="center"/>
      </w:pPr>
      <w:r>
        <w:rPr>
          <w:i/>
          <w:color w:val="8A3F0A"/>
        </w:rPr>
        <w:t xml:space="preserve">Answer key and source feedback are included for instructor review.</w:t>
      </w:r>
    </w:p>
    <w:p>
      <w:r>
        <w:br w:type="page"/>
      </w:r>
    </w:p>
    <w:p>
      <w:pPr>
        <w:pStyle w:val="Heading1"/>
        <w:spacing w:before="0" w:after="180"/>
      </w:pPr>
      <w:r>
        <w:t xml:space="preserve">Contents</w:t>
      </w:r>
    </w:p>
    <w:p>
      <w:pPr>
        <w:spacing w:before="0" w:after="180"/>
      </w:pPr>
      <w:r>
        <w:rPr>
          <w:color w:val="527286"/>
        </w:rPr>
        <w:t xml:space="preserve">This study book is arranged in groups of up to ten questions for easier reading and review.</w:t>
      </w:r>
    </w:p>
    <w:p>
      <w:pPr>
        <w:keepLines/>
        <w:spacing w:before="0" w:after="80"/>
        <w:ind w:left="180" w:right="120"/>
        <w:shd w:val="clear" w:color="auto" w:fill="F7F9FB"/>
        <w:pBdr>
          <w:left w:val="single" w:sz="20" w:space="8" w:color="F47E2C"/>
        </w:pBdr>
      </w:pPr>
      <w:r>
        <w:rPr>
          <w:b/>
          <w:color w:val="17324D"/>
        </w:rPr>
        <w:t xml:space="preserve">Chapter 1  ·  Questions 1–10</w:t>
      </w:r>
    </w:p>
    <w:p>
      <w:r>
        <w:br w:type="page"/>
      </w:r>
    </w:p>
    <w:p>
      <w:pPr>
        <w:pStyle w:val="Heading1"/>
        <w:spacing w:before="0" w:after="220"/>
      </w:pPr>
      <w:r>
        <w:t xml:space="preserve">Chapter 1 · Questions 1–10</w:t>
      </w:r>
    </w:p>
    <w:p>
      <w:pPr>
        <w:pStyle w:val="Heading2"/>
        <w:spacing w:before="0" w:after="70"/>
      </w:pPr>
      <w:r>
        <w:t xml:space="preserve">Question 1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A patient reports hunger, fatigue and light-headedness before treatment. What is the best classification?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A patient-screening concern that should be assessed before proceeding.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A fixed contraindication attached to every acupuncture point.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Proof of pneumothorax.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A historical moxibustion restriction.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A patient-screening concern that should be assessed before proceeding.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Symptoms present before treatment belong first to screening and baseline assessment. Why are the other options incorrect? A fixed contraindication attached to every acupuncture point. — The concern comes from the patient’s current condition, not every point. Proof of pneumothorax. — The scenario does not provide thoracic symptoms or a treatment-related event. A historical moxibustion restriction. — No named modality or historical source is involved.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0" w:after="70"/>
      </w:pPr>
      <w:r>
        <w:t xml:space="preserve">Question 2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Which cluster most strongly suggests a fainting-type adverse response during care?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Localized itching alone.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Gradual study fatigue after reading.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A remembered point name without symptoms.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Dizziness, nausea, pallor and cold sweating.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Dizziness, nausea, pallor and cold sweating.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This cluster matches the recognition pattern described in the supplied safety source. Why are the other options incorrect? Localized itching alone. — A single local skin symptom does not match the systemic cluster. Gradual study fatigue after reading. — Study fatigue is not an acute clinical event. A remembered point name without symptoms. — A point name alone does not identify an adverse response.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0" w:after="70"/>
      </w:pPr>
      <w:r>
        <w:t xml:space="preserve">Question 3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A short chart labels a point “contraindicated” but gives no mechanism or date. What should the learner do?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Ignore the warning because it is old.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Replace it with a mnemonic.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Verify the complete point entry and current safety guidance.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Treat the label as an absolute rule in every context.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Verify the complete point entry and current safety guidance.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A brief legacy label is insufficient for a current universal claim. Why are the other options incorrect? Ignore the warning because it is old. — Historical material can still flag a real issue that requires verification. Replace it with a mnemonic. — A mnemonic cannot establish current clinical guidance. Treat the label as an absolute rule in every context. — The missing mechanism and source status prevent that conclusion.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0" w:after="70"/>
      </w:pPr>
      <w:r>
        <w:t xml:space="preserve">Question 4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Which factor belongs to the local-site screen?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The number of points in the channel.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Active infection or damaged tissue at the intended site.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The learner’s last examination score.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The color used in a pathway diagram.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Active infection or damaged tissue at the intended site.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Local pathology is assessed separately from channel identity. Why are the other options incorrect? The number of points in the channel. — Channel length is unrelated to local tissue integrity. The learner’s last examination score. — An exam score is not a patient-site factor. The color used in a pathway diagram. — Diagram color does not describe tissue condition.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0" w:after="70"/>
      </w:pPr>
      <w:r>
        <w:t xml:space="preserve">Question 5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Why should an unexpected electric shock-like sensation be classified separately from bleeding?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It may indicate direct nerve stimulation rather than vessel involvement.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It always proves normal deqi.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It identifies pregnancy.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It is only a moxa reaction.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It may indicate direct nerve stimulation rather than vessel involvement.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Neural and vascular warning cues have different anatomical mechanisms. Why are the other options incorrect? It always proves normal deqi. — An unexpected electrical sensation requires caution and assessment. It identifies pregnancy. — It is a sensory cue, not a pregnancy screen. It is only a moxa reaction. — The scenario concerns needling sensation, not heat.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0" w:after="70"/>
      </w:pPr>
      <w:r>
        <w:t xml:space="preserve">Question 6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Which statement best distinguishes an adverse event from a pre-existing symptom?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Any symptom after treatment was caused by treatment.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Symptoms before treatment can be ignored.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The point name determines causation by itself.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Document timing and baseline findings before assigning causation.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Document timing and baseline findings before assigning causation.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Temporal sequence and baseline documentation prevent unsupported causal claims. Why are the other options incorrect? Any symptom after treatment was caused by treatment. — Timing alone does not prove causation. Symptoms before treatment can be ignored. — Baseline symptoms are essential to assessment. The point name determines causation by itself. — A point name cannot establish causality.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0" w:after="70"/>
      </w:pPr>
      <w:r>
        <w:t xml:space="preserve">Question 7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A learner sees the terms stuck, bent and broken needle in a source. What is the safest educational use?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Practice removal techniques from the summary alone.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Classify all three as pregnancy issues.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Recognize them as distinct events and follow the current supervised protocol.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Infer a single identical response for all three.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Recognize them as distinct events and follow the current supervised protocol.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The chapter supports recognition and escalation, not independent procedural management. Why are the other options incorrect? Practice removal techniques from the summary alone. — Procedural management requires complete training and supervision. Classify all three as pregnancy issues. — They are instrument or movement events, not pregnancy categories. Infer a single identical response for all three. — The events have different mechanisms and implications.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0" w:after="70"/>
      </w:pPr>
      <w:r>
        <w:t xml:space="preserve">Question 8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Which statement about hematoma study is most accurate?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Assume it is caused by a nerve.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Connect the finding to possible vessel injury and current adverse-event guidance.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Treat every discoloration as an arterial emergency.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Memorize only the point name.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Connect the finding to possible vessel injury and current adverse-event guidance.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The useful Board-level relationship is event recognition plus appropriate protocol. Why are the other options incorrect? Assume it is caused by a nerve. — Hematoma is principally a bleeding or vessel-related finding. Treat every discoloration as an arterial emergency. — Appearance alone does not establish the vessel or severity. Memorize only the point name. — Mechanism and presentation matter in clinical vignettes.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0" w:after="70"/>
      </w:pPr>
      <w:r>
        <w:t xml:space="preserve">Question 9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A question mentions pregnancy and a thoracic point. How should the risks be organized?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Record pregnancy context and thoracic anatomy as separate factors.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Choose pregnancy and ignore anatomy.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Choose pleura and ignore the patient.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Combine both into a modality restriction.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Record pregnancy context and thoracic anatomy as separate factors.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One patient-context label does not replace a second anatomical risk analysis. Why are the other options incorrect? Choose pregnancy and ignore anatomy. — Both independent dimensions remain relevant. Choose pleura and ignore the patient. — Patient context must still be screened. Combine both into a modality restriction. — Neither factor automatically identifies a named modality.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0" w:after="70"/>
      </w:pPr>
      <w:r>
        <w:t xml:space="preserve">Question 10</w:t>
      </w:r>
    </w:p>
    <w:p>
      <w:pPr>
        <w:keepNext/>
        <w:spacing w:before="0" w:after="70"/>
        <w:ind w:left="180" w:right="0"/>
      </w:pPr>
      <w:r>
        <w:rPr>
          <w:i/>
          <w:color w:val="527286"/>
          <w:sz w:val="18"/>
          <w:szCs w:val="18"/>
        </w:rPr>
        <w:t xml:space="preserve">Multiple Choice</w:t>
      </w:r>
    </w:p>
    <w:p>
      <w:pPr>
        <w:keepLines/>
        <w:spacing w:before="0" w:after="150"/>
        <w:ind w:left="180" w:right="120"/>
      </w:pPr>
      <w:r>
        <w:rPr>
          <w:b/>
          <w:sz w:val="22"/>
          <w:szCs w:val="22"/>
        </w:rPr>
        <w:t xml:space="preserve">What is the strongest first step in the SAFER framework?</w:t>
      </w:r>
    </w:p>
    <w:p>
      <w:pPr>
        <w:keepNext/>
        <w:spacing w:before="0" w:after="100"/>
      </w:pPr>
      <w:r>
        <w:rPr>
          <w:b/>
          <w:color w:val="17324D"/>
        </w:rPr>
        <w:t xml:space="preserve">Options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A) Select a point from memory.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B) Jump to the final reflection.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C) Assume the old bank contains the complete rule.</w:t>
      </w:r>
    </w:p>
    <w:p>
      <w:pPr>
        <w:keepLines/>
        <w:spacing w:before="0" w:after="55"/>
        <w:ind w:left="180" w:right="120"/>
        <w:shd w:val="clear" w:color="auto" w:fill="F7F9FB"/>
      </w:pPr>
      <w:r>
        <w:t xml:space="preserve">D) Screen the patient, site, symptoms and modality context.</w:t>
      </w:r>
    </w:p>
    <w:p>
      <w:pPr>
        <w:keepLines/>
        <w:spacing w:before="80" w:after="120"/>
        <w:ind w:left="180" w:right="120"/>
        <w:shd w:val="clear" w:color="auto" w:fill="EAF6EE"/>
        <w:pBdr>
          <w:left w:val="single" w:sz="20" w:space="8" w:color="2E8B57"/>
        </w:pBdr>
      </w:pPr>
      <w:r>
        <w:rPr>
          <w:b/>
          <w:color w:val="167A3A"/>
        </w:rPr>
        <w:t xml:space="preserve">Correct answer: Screen the patient, site, symptoms and modality context.</w:t>
      </w:r>
    </w:p>
    <w:p>
      <w:pPr>
        <w:keepLines/>
        <w:spacing w:before="0" w:after="100"/>
        <w:ind w:left="180" w:right="120"/>
        <w:shd w:val="clear" w:color="auto" w:fill="EEF7FA"/>
        <w:pBdr>
          <w:left w:val="single" w:sz="20" w:space="8" w:color="58A6B8"/>
        </w:pBdr>
      </w:pPr>
      <w:r>
        <w:rPr>
          <w:i/>
          <w:color w:val="31586B"/>
        </w:rPr>
        <w:t xml:space="preserve">Correct-answer feedback: Screening establishes the information needed before anatomical classification and source review. Why are the other options incorrect? Select a point from memory. — Selection before screening skips essential context. Jump to the final reflection. — Reflection follows learning and assessment. Assume the old bank contains the complete rule. — A short bank is not a substitute for a complete current source.</w:t>
      </w:r>
    </w:p>
    <w:p>
      <w:pPr>
        <w:spacing w:before="0" w:after="160"/>
      </w:pPr>
      <w:r>
        <w:t xml:space="preserve"/>
      </w:r>
    </w:p>
    <w:sectPr>
      <w:pgSz w:w="12240" w:h="15840"/>
      <w:pgMar w:top="1080" w:right="900" w:bottom="1080" w:left="900" w:header="540" w:footer="540" w:gutter="0"/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pPr>
      <w:jc w:val="center"/>
      <w:spacing w:before="80"/>
      <w:pBdr>
        <w:top w:val="single" w:sz="8" w:space="6" w:color="D8E2E8"/>
      </w:pBdr>
    </w:pPr>
    <w:r>
      <w:rPr>
        <w:color w:val="527286"/>
        <w:sz w:val="17"/>
      </w:rPr>
      <w:t xml:space="preserve">AcupunctureTests  •  Page </w:t>
    </w:r>
    <w:fldSimple w:instr=" PAGE ">
      <w:r>
        <w:rPr>
          <w:color w:val="527286"/>
          <w:sz w:val="17"/>
        </w:rPr>
        <w:t>1</w:t>
      </w:r>
    </w:fldSimple>
  </w:p>
</w:ftr>
</file>

<file path=word/header1.xml><?xml version="1.0" encoding="utf-8"?>
<w:hdr xmlns:w="http://schemas.openxmlformats.org/wordprocessingml/2006/main">
  <w:p>
    <w:pPr>
      <w:jc w:val="right"/>
      <w:spacing w:after="80"/>
      <w:pBdr>
        <w:bottom w:val="single" w:sz="12" w:space="6" w:color="F47E2C"/>
      </w:pBdr>
    </w:pPr>
    <w:r>
      <w:rPr>
        <w:b/>
        <w:color w:val="527286"/>
        <w:sz w:val="17"/>
      </w:rPr>
      <w:t>General Cautions and Adverse Responses (Mock 10)</w:t>
    </w:r>
  </w:p>
</w:hdr>
</file>

<file path=word/settings.xml><?xml version="1.0" encoding="utf-8"?>
<w:settings xmlns:w="http://schemas.openxmlformats.org/wordprocessingml/2006/main">
  <w:compat/>
  <w:doNotTrackMoves/>
  <w:doNotTrackFormatting/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Aptos"/>
        <w:color w:val="203040"/>
        <w:sz w:val="21"/>
      </w:rPr>
    </w:rPrDefault>
  </w:docDefaults>
  <w:style w:type="paragraph" w:default="1" w:styleId="Normal">
    <w:name w:val="Normal"/>
    <w:pPr>
      <w:spacing w:after="100" w:line="276" w:lineRule="auto"/>
    </w:pPr>
  </w:style>
  <w:style w:type="paragraph" w:styleId="BookBrand">
    <w:name w:val="Book Brand"/>
    <w:basedOn w:val="Normal"/>
    <w:pPr>
      <w:spacing w:after="260"/>
      <w:jc w:val="center"/>
    </w:pPr>
    <w:rPr>
      <w:b/>
      <w:color w:val="F47E2C"/>
      <w:sz w:val="22"/>
      <w:caps/>
    </w:rPr>
  </w:style>
  <w:style w:type="paragraph" w:styleId="Title">
    <w:name w:val="Title"/>
    <w:basedOn w:val="Normal"/>
    <w:next w:val="BookSubtitle"/>
    <w:pPr>
      <w:spacing w:before="240" w:after="240"/>
      <w:jc w:val="center"/>
      <w:keepNext/>
    </w:pPr>
    <w:rPr>
      <w:b/>
      <w:color w:val="17324D"/>
      <w:sz w:val="48"/>
    </w:rPr>
  </w:style>
  <w:style w:type="paragraph" w:styleId="BookSubtitle">
    <w:name w:val="Book Subtitle"/>
    <w:basedOn w:val="Normal"/>
    <w:pPr>
      <w:spacing w:after="360"/>
      <w:jc w:val="center"/>
    </w:pPr>
    <w:rPr>
      <w:color w:val="527286"/>
      <w:sz w:val="26"/>
    </w:rPr>
  </w:style>
  <w:style w:type="paragraph" w:styleId="Heading1">
    <w:name w:val="heading 1"/>
    <w:basedOn w:val="Normal"/>
    <w:next w:val="Normal"/>
    <w:pPr>
      <w:keepNext/>
      <w:keepLines/>
      <w:spacing w:before="180" w:after="180"/>
      <w:pBdr>
        <w:bottom w:val="single" w:sz="16" w:space="8" w:color="F47E2C"/>
      </w:pBdr>
    </w:pPr>
    <w:rPr>
      <w:b/>
      <w:color w:val="17324D"/>
      <w:sz w:val="32"/>
    </w:rPr>
  </w:style>
  <w:style w:type="paragraph" w:styleId="Heading2">
    <w:name w:val="heading 2"/>
    <w:basedOn w:val="Normal"/>
    <w:next w:val="Normal"/>
    <w:pPr>
      <w:keepNext/>
      <w:keepLines/>
      <w:spacing w:before="220" w:after="100"/>
      <w:shd w:val="clear" w:color="auto" w:fill="E8F3F5"/>
      <w:pBdr>
        <w:left w:val="single" w:sz="28" w:space="8" w:color="F47E2C"/>
      </w:pBdr>
    </w:pPr>
    <w:rPr>
      <w:b/>
      <w:color w:val="17324D"/>
      <w:sz w:val="26"/>
    </w:r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AcupunctureTests SCORM Word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Cautions and Adverse Responses (Mock 10)</dc:title>
  <dc:creator>AcupunctureTests</dc:creator>
  <cp:lastModifiedBy>AcupunctureTests SCORM Word Exporter</cp:lastModifiedBy>
  <dcterms:created xsi:type="dcterms:W3CDTF">2026-10-24T16:40:33+00:00</dcterms:created>
  <dcterms:modified xsi:type="dcterms:W3CDTF">2026-10-24T16:40:33+00:00</dcterms:modified>
</cp:coreProperties>
</file>