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20"/>
        <w:ind w:left="180" w:right="120"/>
      </w:pPr>
      <w:r>
        <w:rPr>
          <w:b/>
          <w:sz w:val="22"/>
          <w:szCs w:val="22"/>
        </w:rPr>
        <w:t xml:space="preserve">Comparison Alpiniae officinarum Rhizoma (gao liang jiang) Vs. Zingiberis Rhizoma recens (sheng jiang)</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527286"/>
            <w:vAlign w:val="top"/>
          </w:tcPr>
          <w:p>
            <w:pPr>
              <w:keepNext/>
              <w:keepLines/>
              <w:spacing w:before="0" w:after="0"/>
            </w:pPr>
            <w:r>
              <w:rPr>
                <w:b/>
                <w:color w:val="FFFFFF"/>
              </w:rPr>
              <w:t xml:space="preserve">Study tip · Clues to help answer</w:t>
            </w:r>
          </w:p>
        </w:tc>
      </w:tr>
      <w:tr>
        <w:trPr>
          <w:cantSplit/>
        </w:trPr>
        <w:tc>
          <w:tcPr>
            <w:tcW w:w="1500" w:type="dxa"/>
            <w:shd w:val="clear" w:color="auto" w:fill="DDEAF0"/>
            <w:vAlign w:val="top"/>
          </w:tcPr>
          <w:p>
            <w:pPr>
              <w:keepNext/>
              <w:keepLines/>
              <w:spacing w:before="0" w:after="0"/>
            </w:pPr>
            <w:r>
              <w:rPr>
                <w:b/>
                <w:color w:val="203040"/>
              </w:rPr>
              <w:t xml:space="preserve">Clue</w:t>
            </w:r>
          </w:p>
        </w:tc>
        <w:tc>
          <w:tcPr>
            <w:tcW w:w="3750" w:type="dxa"/>
            <w:shd w:val="clear" w:color="auto" w:fill="DDEAF0"/>
            <w:vAlign w:val="top"/>
          </w:tcPr>
          <w:p>
            <w:pPr>
              <w:keepNext/>
              <w:keepLines/>
              <w:spacing w:before="0" w:after="0"/>
            </w:pPr>
            <w:r>
              <w:rPr>
                <w:b/>
                <w:color w:val="203040"/>
              </w:rPr>
              <w:t xml:space="preserve">Gao Liang jiang</w:t>
            </w:r>
          </w:p>
        </w:tc>
        <w:tc>
          <w:tcPr>
            <w:tcW w:w="3750" w:type="dxa"/>
            <w:shd w:val="clear" w:color="auto" w:fill="DDEAF0"/>
            <w:vAlign w:val="top"/>
          </w:tcPr>
          <w:p>
            <w:pPr>
              <w:keepNext/>
              <w:keepLines/>
              <w:spacing w:before="0" w:after="0"/>
            </w:pPr>
            <w:r>
              <w:rPr>
                <w:b/>
                <w:color w:val="203040"/>
              </w:rPr>
              <w:t xml:space="preserve">Sheng Jiang</w:t>
            </w:r>
          </w:p>
        </w:tc>
      </w:tr>
      <w:tr>
        <w:trPr>
          <w:cantSplit/>
        </w:trPr>
        <w:tc>
          <w:tcPr>
            <w:tcW w:w="1500" w:type="dxa"/>
            <w:shd w:val="clear" w:color="auto" w:fill="F2F6F8"/>
            <w:vAlign w:val="top"/>
          </w:tcPr>
          <w:p>
            <w:pPr>
              <w:keepNext/>
              <w:keepLines/>
              <w:spacing w:before="0" w:after="0"/>
            </w:pPr>
            <w:r>
              <w:rPr>
                <w:b/>
                <w:color w:val="203040"/>
              </w:rPr>
              <w:t xml:space="preserve">Shared clues</w:t>
            </w:r>
          </w:p>
        </w:tc>
        <w:tc>
          <w:tcPr>
            <w:gridSpan w:val="2"/>
            <w:tcW w:w="7500" w:type="dxa"/>
            <w:shd w:val="clear" w:color="auto" w:fill="FFFFFF"/>
            <w:vAlign w:val="top"/>
          </w:tcPr>
          <w:p>
            <w:pPr>
              <w:keepNext/>
              <w:keepLines/>
              <w:spacing w:before="0" w:after="0"/>
            </w:pPr>
            <w:r>
              <w:rPr>
                <w:color w:val="203040"/>
              </w:rPr>
              <w:t xml:space="preserve">Both herbs warm the middle, disperse cold, and settle nausea.</w:t>
            </w:r>
          </w:p>
        </w:tc>
      </w:tr>
      <w:tr>
        <w:trPr>
          <w:cantSplit/>
        </w:trPr>
        <w:tc>
          <w:tcPr>
            <w:tcW w:w="1500" w:type="dxa"/>
            <w:shd w:val="clear" w:color="auto" w:fill="F2F6F8"/>
            <w:vAlign w:val="top"/>
          </w:tcPr>
          <w:p>
            <w:pPr>
              <w:keepLines/>
              <w:spacing w:before="0" w:after="0"/>
            </w:pPr>
            <w:r>
              <w:rPr>
                <w:b/>
                <w:color w:val="203040"/>
              </w:rPr>
              <w:t xml:space="preserve">Symptoms / conditions</w:t>
            </w:r>
          </w:p>
        </w:tc>
        <w:tc>
          <w:tcPr>
            <w:tcW w:w="3750" w:type="dxa"/>
            <w:shd w:val="clear" w:color="auto" w:fill="FFFFFF"/>
            <w:vAlign w:val="top"/>
          </w:tcPr>
          <w:p>
            <w:pPr>
              <w:keepLines/>
              <w:spacing w:before="0" w:after="0"/>
            </w:pPr>
            <w:r>
              <w:rPr>
                <w:color w:val="203040"/>
              </w:rPr>
              <w:t xml:space="preserve">• Abdominal pain</w:t>
            </w:r>
            <w:r>
              <w:br/>
            </w:r>
            <w:r>
              <w:rPr>
                <w:color w:val="203040"/>
              </w:rPr>
              <w:t xml:space="preserve">• Vomiting</w:t>
            </w:r>
            <w:r>
              <w:br/>
            </w:r>
            <w:r>
              <w:rPr>
                <w:color w:val="203040"/>
              </w:rPr>
              <w:t xml:space="preserve">• Diarrhea</w:t>
            </w:r>
            <w:r>
              <w:br/>
            </w:r>
            <w:r>
              <w:rPr>
                <w:color w:val="203040"/>
              </w:rPr>
              <w:t xml:space="preserve">• Acid reflux</w:t>
            </w:r>
            <w:r>
              <w:br/>
            </w:r>
            <w:r>
              <w:rPr>
                <w:color w:val="203040"/>
              </w:rPr>
              <w:t xml:space="preserve">• Loss of appetite</w:t>
            </w:r>
          </w:p>
        </w:tc>
        <w:tc>
          <w:tcPr>
            <w:tcW w:w="3750" w:type="dxa"/>
            <w:shd w:val="clear" w:color="auto" w:fill="FFFFFF"/>
            <w:vAlign w:val="top"/>
          </w:tcPr>
          <w:p>
            <w:pPr>
              <w:keepLines/>
              <w:spacing w:before="0" w:after="0"/>
            </w:pPr>
            <w:r>
              <w:rPr>
                <w:color w:val="203040"/>
              </w:rPr>
              <w:t xml:space="preserve">• Common cold</w:t>
            </w:r>
            <w:r>
              <w:br/>
            </w:r>
            <w:r>
              <w:rPr>
                <w:color w:val="203040"/>
              </w:rPr>
              <w:t xml:space="preserve">• Nasal congestion</w:t>
            </w:r>
            <w:r>
              <w:br/>
            </w:r>
            <w:r>
              <w:rPr>
                <w:color w:val="203040"/>
              </w:rPr>
              <w:t xml:space="preserve">• Coughing</w:t>
            </w:r>
            <w:r>
              <w:br/>
            </w:r>
            <w:r>
              <w:rPr>
                <w:color w:val="203040"/>
              </w:rPr>
              <w:t xml:space="preserve">• Food poisoning from seafood</w:t>
            </w:r>
            <w:r>
              <w:br/>
            </w:r>
            <w:r>
              <w:rPr>
                <w:color w:val="203040"/>
              </w:rPr>
              <w:t xml:space="preserve">• Loss of appetite</w:t>
            </w:r>
            <w:r>
              <w:br/>
            </w:r>
            <w:r>
              <w:rPr>
                <w:color w:val="203040"/>
              </w:rPr>
              <w:t xml:space="preserve">• Morning sickness</w:t>
            </w:r>
            <w:r>
              <w:br/>
            </w:r>
            <w:r>
              <w:rPr>
                <w:color w:val="203040"/>
              </w:rPr>
              <w:t xml:space="preserve">• Vomiting</w:t>
            </w:r>
            <w:r>
              <w:br/>
            </w:r>
            <w:r>
              <w:rPr>
                <w:color w:val="203040"/>
              </w:rPr>
              <w:t xml:space="preserve">• Phlegm</w:t>
            </w:r>
            <w:r>
              <w:br/>
            </w:r>
            <w:r>
              <w:rPr>
                <w:color w:val="203040"/>
              </w:rPr>
              <w:t xml:space="preserve">• Drug poisoning</w:t>
            </w:r>
          </w:p>
        </w:tc>
      </w:tr>
    </w:tbl>
    <w:p>
      <w:pPr>
        <w:spacing w:before="0" w:after="120"/>
      </w:pPr>
      <w:r>
        <w:t xml:space="preserve"/>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F47E2C"/>
            <w:vAlign w:val="top"/>
          </w:tcPr>
          <w:p>
            <w:pPr>
              <w:keepNext/>
              <w:keepLines/>
              <w:spacing w:before="0" w:after="0"/>
            </w:pPr>
            <w:r>
              <w:rPr>
                <w:b/>
                <w:color w:val="FFFFFF"/>
              </w:rPr>
              <w:t xml:space="preserve">Comparative answer key</w:t>
            </w:r>
          </w:p>
        </w:tc>
      </w:tr>
      <w:tr>
        <w:trPr>
          <w:cantSplit/>
        </w:trPr>
        <w:tc>
          <w:tcPr>
            <w:tcW w:w="1500" w:type="dxa"/>
            <w:shd w:val="clear" w:color="auto" w:fill="DDEAF0"/>
            <w:vAlign w:val="top"/>
          </w:tcPr>
          <w:p>
            <w:pPr>
              <w:keepNext/>
              <w:keepLines/>
              <w:spacing w:before="0" w:after="0"/>
            </w:pPr>
            <w:r>
              <w:rPr>
                <w:b/>
                <w:color w:val="203040"/>
              </w:rPr>
              <w:t xml:space="preserve">Compare</w:t>
            </w:r>
          </w:p>
        </w:tc>
        <w:tc>
          <w:tcPr>
            <w:tcW w:w="3750" w:type="dxa"/>
            <w:shd w:val="clear" w:color="auto" w:fill="DDEAF0"/>
            <w:vAlign w:val="top"/>
          </w:tcPr>
          <w:p>
            <w:pPr>
              <w:keepNext/>
              <w:keepLines/>
              <w:spacing w:before="0" w:after="0"/>
            </w:pPr>
            <w:r>
              <w:rPr>
                <w:b/>
                <w:color w:val="203040"/>
              </w:rPr>
              <w:t xml:space="preserve">Alpiniae officinarum Rhizoma (gao liang jiang)</w:t>
            </w:r>
          </w:p>
        </w:tc>
        <w:tc>
          <w:tcPr>
            <w:tcW w:w="3750" w:type="dxa"/>
            <w:shd w:val="clear" w:color="auto" w:fill="DDEAF0"/>
            <w:vAlign w:val="top"/>
          </w:tcPr>
          <w:p>
            <w:pPr>
              <w:keepNext/>
              <w:keepLines/>
              <w:spacing w:before="0" w:after="0"/>
            </w:pPr>
            <w:r>
              <w:rPr>
                <w:b/>
                <w:color w:val="203040"/>
              </w:rPr>
              <w:t xml:space="preserve">Zingiberis Rhizoma recens (sheng jiang)</w:t>
            </w:r>
          </w:p>
        </w:tc>
      </w:tr>
      <w:tr>
        <w:trPr>
          <w:cantSplit/>
        </w:trPr>
        <w:tc>
          <w:tcPr>
            <w:tcW w:w="1500" w:type="dxa"/>
            <w:shd w:val="clear" w:color="auto" w:fill="F2F6F8"/>
            <w:vAlign w:val="top"/>
          </w:tcPr>
          <w:p>
            <w:pPr>
              <w:keepNext/>
              <w:keepLines/>
              <w:spacing w:before="0" w:after="0"/>
            </w:pPr>
            <w:r>
              <w:rPr>
                <w:b/>
                <w:color w:val="203040"/>
              </w:rPr>
              <w:t xml:space="preserve">Category</w:t>
            </w:r>
          </w:p>
        </w:tc>
        <w:tc>
          <w:tcPr>
            <w:tcW w:w="3750" w:type="dxa"/>
            <w:shd w:val="clear" w:color="auto" w:fill="FFFFFF"/>
            <w:vAlign w:val="top"/>
          </w:tcPr>
          <w:p>
            <w:pPr>
              <w:keepNext/>
              <w:keepLines/>
              <w:spacing w:before="0" w:after="0"/>
            </w:pPr>
            <w:r>
              <w:rPr>
                <w:color w:val="203040"/>
              </w:rPr>
              <w:t xml:space="preserve">Herbs that Warm the Interior and Expel Cold.</w:t>
            </w:r>
          </w:p>
        </w:tc>
        <w:tc>
          <w:tcPr>
            <w:tcW w:w="3750" w:type="dxa"/>
            <w:shd w:val="clear" w:color="auto" w:fill="FFFFFF"/>
            <w:vAlign w:val="top"/>
          </w:tcPr>
          <w:p>
            <w:pPr>
              <w:keepNext/>
              <w:keepLines/>
              <w:spacing w:before="0" w:after="0"/>
            </w:pPr>
            <w:r>
              <w:rPr>
                <w:color w:val="203040"/>
              </w:rPr>
              <w:t xml:space="preserve">Warm, Acrid Herbs that Release the Exterior.</w:t>
            </w:r>
          </w:p>
        </w:tc>
      </w:tr>
      <w:tr>
        <w:trPr>
          <w:cantSplit/>
        </w:trPr>
        <w:tc>
          <w:tcPr>
            <w:tcW w:w="1500" w:type="dxa"/>
            <w:shd w:val="clear" w:color="auto" w:fill="F2F6F8"/>
            <w:vAlign w:val="top"/>
          </w:tcPr>
          <w:p>
            <w:pPr>
              <w:keepLines/>
              <w:spacing w:before="0" w:after="0"/>
            </w:pPr>
            <w:r>
              <w:rPr>
                <w:b/>
                <w:color w:val="203040"/>
              </w:rPr>
              <w:t xml:space="preserve">Formulas</w:t>
            </w:r>
          </w:p>
        </w:tc>
        <w:tc>
          <w:tcPr>
            <w:tcW w:w="375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c>
          <w:tcPr>
            <w:tcW w:w="375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comparison column.</w:t>
      </w:r>
      <w:r>
        <w:br/>
      </w:r>
      <w:r>
        <w:rPr>
          <w:color w:val="245B38"/>
        </w:rPr>
        <w:t xml:space="preserve">Match 2 — Zingiberis Rhizoma recens (sheng jiang): classified as Warm, Acrid Herbs that Release the Exterior; paired with the 6 formula associations shown in its comparison column.</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comparison table.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2026-10-24T17:50:27+00:00</dcterms:created>
  <dcterms:modified xsi:type="dcterms:W3CDTF">2026-10-24T17:50:27+00:00</dcterms:modified>
</cp:coreProperties>
</file>