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21 — Four and Six Command Points</w:t>
      </w:r>
    </w:p>
    <w:p>
      <w:r>
        <w:t>Instructor answer key — compare after the learner completes the table from memory.</w:t>
      </w:r>
    </w:p>
    <w:p>
      <w:r>
        <w:t>Reconstruct the four classical correspondences, then add the two later entries used in the expanded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Grouping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Point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b/>
              </w:rPr>
              <w:t>Source-listed correspondence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ST36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Abdomen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UB40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Lumbar region and back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LU7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Head and nape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Classical Four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LI4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Face and mouth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Expanded Five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PC6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Chest and lateral costal region</w:t>
            </w:r>
          </w:p>
        </w:tc>
      </w:tr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t>Expanded Six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DU26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t>Traditional resuscitation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