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26 — Entry and Exit Points</w:t>
      </w:r>
    </w:p>
    <w:p>
      <w:r>
        <w:t>Instructor answer key — compare after the learner completes the table from memory.</w:t>
      </w:r>
    </w:p>
    <w:p>
      <w:r>
        <w:t>Reconstruct the course convention shown in the supplied table. Entry and Exit are transfer relationships; they are not a universal first-point/last-point rule.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</w:tblGrid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SP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HT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UB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KID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PC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SJ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GB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LIV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Entry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LU1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LI4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ST1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SP1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HT1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SI1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UB1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KID1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PC1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SJ1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GB1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LIV1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Exit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LU7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LI20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ST42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SP21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HT9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SI19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UB67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KID22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PC8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SJ22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GB41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LIV14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