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15 — Group Luo Points</w:t>
      </w:r>
    </w:p>
    <w:p>
      <w:r>
        <w:t>Instructor answer key — compare after the learner completes the table from memory.</w:t>
      </w:r>
    </w:p>
    <w:p>
      <w:r>
        <w:t>Match each group of three channels with its Group Luo point. The supplied scan is faint; this worksheet uses the standard GB39 correspondence for the three Leg Yang channels.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vAlign w:val="center"/>
          </w:tcPr>
          <w:p>
            <w:pPr>
              <w:jc w:val="center"/>
            </w:pPr>
            <w:r>
              <w:rPr>
                <w:b/>
              </w:rPr>
              <w:t>Group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>
              <w:rPr>
                <w:b/>
              </w:rPr>
              <w:t>Three Arm Yang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>
              <w:rPr>
                <w:b/>
              </w:rPr>
              <w:t>Three Arm Yin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>
              <w:rPr>
                <w:b/>
              </w:rPr>
              <w:t>Three Leg Yang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>
              <w:rPr>
                <w:b/>
              </w:rPr>
              <w:t>Three Leg Yin</w:t>
            </w:r>
          </w:p>
        </w:tc>
      </w:tr>
      <w:tr>
        <w:tc>
          <w:tcPr>
            <w:tcW w:type="dxa" w:w="2909"/>
            <w:vAlign w:val="center"/>
          </w:tcPr>
          <w:p>
            <w:pPr>
              <w:jc w:val="center"/>
            </w:pPr>
            <w:r>
              <w:t>Group Luo point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>
              <w:t>SJ8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>
              <w:t>PC5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>
              <w:t>GB39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>
              <w:t>SP6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