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webp" ContentType="image/webp"/>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Channel</w:t>
      </w:r>
      <w:r>
        <w:t xml:space="preserve"> </w:t>
      </w:r>
      <w:r>
        <w:t xml:space="preserve">Pathways</w:t>
      </w:r>
      <w:r>
        <w:t xml:space="preserve"> </w:t>
      </w:r>
      <w:r>
        <w:t xml:space="preserve">—</w:t>
      </w:r>
      <w:r>
        <w:t xml:space="preserve"> </w:t>
      </w:r>
      <w:r>
        <w:t xml:space="preserve">Part</w:t>
      </w:r>
      <w:r>
        <w:t xml:space="preserve"> </w:t>
      </w:r>
      <w:r>
        <w:t xml:space="preserve">1:</w:t>
      </w:r>
      <w:r>
        <w:t xml:space="preserve"> </w:t>
      </w:r>
      <w:r>
        <w:t xml:space="preserve">Foundations</w:t>
      </w:r>
      <w:r>
        <w:t xml:space="preserve"> </w:t>
      </w:r>
      <w:r>
        <w:t xml:space="preserve">and</w:t>
      </w:r>
      <w:r>
        <w:t xml:space="preserve"> </w:t>
      </w:r>
      <w:r>
        <w:t xml:space="preserve">Objectives</w:t>
      </w:r>
      <w:r>
        <w:t xml:space="preserve"> </w:t>
      </w:r>
      <w:r>
        <w:t xml:space="preserve">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3" w:name="X36641d11f9d33d726bf7c0cf16df261e2f782a5"/>
    <w:p>
      <w:pPr>
        <w:pStyle w:val="Heading1"/>
      </w:pPr>
      <w:r>
        <w:t xml:space="preserve">Channel Pathways — Part 1: Foundations and Objectives 1–4</w:t>
      </w:r>
    </w:p>
    <w:p>
      <w:pPr>
        <w:pStyle w:val="FirstParagraph"/>
      </w:pPr>
      <w:r>
        <w:t xml:space="preserve">Acupuncture &amp; Point Location — Channel Pathway Identification</w:t>
      </w:r>
    </w:p>
    <w:bookmarkStart w:id="27" w:name="overview"/>
    <w:p>
      <w:pPr>
        <w:pStyle w:val="BodyText"/>
      </w:pPr>
      <w:r>
        <w:t xml:space="preserve">STUDY GUIDE · CHANNEL PATHWAYS</w:t>
      </w:r>
    </w:p>
    <w:bookmarkStart w:id="23" w:name="acupuncture-point-location"/>
    <w:p>
      <w:pPr>
        <w:pStyle w:val="Heading1"/>
      </w:pPr>
      <w:r>
        <w:t xml:space="preserve">Acupuncture &amp; Point Location</w:t>
      </w:r>
    </w:p>
    <w:bookmarkStart w:id="22" w:name="channel-pathway-identification"/>
    <w:p>
      <w:pPr>
        <w:pStyle w:val="Heading2"/>
      </w:pPr>
      <w:r>
        <w:t xml:space="preserve">Channel Pathway Identification</w:t>
      </w:r>
    </w:p>
    <w:p>
      <w:pPr>
        <w:pStyle w:val="FirstParagraph"/>
      </w:pPr>
      <w:r>
        <w:t xml:space="preserve">Recognize, compare and justify Primary, Divergent, Luo-Connecting and Sinew pathways, plus selected Extraordinary Vessels, through twelve focused objectives.</w:t>
      </w:r>
    </w:p>
    <w:p>
      <w:pPr>
        <w:pStyle w:val="BodyText"/>
      </w:pPr>
      <w:hyperlink w:anchor="course-overview">
        <w:r>
          <w:rPr>
            <w:rStyle w:val="Hyperlink"/>
          </w:rPr>
          <w:t xml:space="preserve">← Back to Study Guide index</w:t>
        </w:r>
      </w:hyperlink>
    </w:p>
    <w:p>
      <w:pPr>
        <w:pStyle w:val="BodyText"/>
      </w:pPr>
      <w:hyperlink w:anchor="school-level-exam">
        <w:r>
          <w:rPr>
            <w:rStyle w:val="Hyperlink"/>
          </w:rPr>
          <w:t xml:space="preserve">School Level Exam</w:t>
        </w:r>
      </w:hyperlink>
      <w:r>
        <w:t xml:space="preserve"> </w:t>
      </w:r>
      <w:hyperlink w:anchor="board-level-exam">
        <w:r>
          <w:rPr>
            <w:rStyle w:val="Hyperlink"/>
          </w:rPr>
          <w:t xml:space="preserve">Board Level Exam</w:t>
        </w:r>
      </w:hyperlink>
      <w:r>
        <w:t xml:space="preserve"> </w:t>
      </w:r>
      <w:hyperlink w:anchor="continuing-education-plan">
        <w:r>
          <w:rPr>
            <w:rStyle w:val="Hyperlink"/>
          </w:rPr>
          <w:t xml:space="preserve">Continuing Education</w:t>
        </w:r>
      </w:hyperlink>
      <w:r>
        <w:t xml:space="preserve"> </w:t>
      </w:r>
      <w:hyperlink w:anchor="continuing-education-exam">
        <w:r>
          <w:rPr>
            <w:rStyle w:val="Hyperlink"/>
          </w:rPr>
          <w:t xml:space="preserve">Continuing Education Exam</w:t>
        </w:r>
      </w:hyperlink>
    </w:p>
    <w:p>
      <w:pPr>
        <w:pStyle w:val="BodyText"/>
      </w:pPr>
      <w:hyperlink r:id="rId20">
        <w:r>
          <w:rPr>
            <w:rStyle w:val="Hyperlink"/>
          </w:rPr>
          <w:t xml:space="preserve">BOARD STUDY WORKBOOK · WORD</w:t>
        </w:r>
        <w:r>
          <w:rPr>
            <w:rStyle w:val="Hyperlink"/>
            <w:b/>
            <w:bCs/>
          </w:rPr>
          <w:t xml:space="preserve">Download the Complete Board Workbook</w:t>
        </w:r>
        <w:r>
          <w:rPr>
            <w:rStyle w:val="Hyperlink"/>
          </w:rPr>
          <w:t xml:space="preserve">Exam strategies, mnemonics, worked examples, flashcard models and fill-in worksheets</w:t>
        </w:r>
      </w:hyperlink>
      <w:r>
        <w:t xml:space="preserve"> </w:t>
      </w:r>
      <w:hyperlink r:id="rId21">
        <w:r>
          <w:rPr>
            <w:rStyle w:val="Hyperlink"/>
          </w:rPr>
          <w:t xml:space="preserve">13 EXAMS · 130 QUESTIONS · WORD</w:t>
        </w:r>
        <w:r>
          <w:rPr>
            <w:rStyle w:val="Hyperlink"/>
            <w:b/>
            <w:bCs/>
          </w:rPr>
          <w:t xml:space="preserve">Download All Practice Exam Questions</w:t>
        </w:r>
        <w:r>
          <w:rPr>
            <w:rStyle w:val="Hyperlink"/>
          </w:rPr>
          <w:t xml:space="preserve">Complete collection with answers, feedback and image questions</w:t>
        </w:r>
      </w:hyperlink>
    </w:p>
    <w:bookmarkEnd w:id="22"/>
    <w:bookmarkEnd w:id="23"/>
    <w:p>
      <w:pPr>
        <w:pStyle w:val="CaptionedFigure"/>
      </w:pPr>
      <w:r>
        <w:drawing>
          <wp:inline>
            <wp:extent cx="3810000" cy="2540000"/>
            <wp:effectExtent b="0" l="0" r="0" t="0"/>
            <wp:docPr descr="Four directional groups of the Twelve Primary Channels" title="" id="25" name="Picture"/>
            <a:graphic>
              <a:graphicData uri="http://schemas.openxmlformats.org/drawingml/2006/picture">
                <pic:pic>
                  <pic:nvPicPr>
                    <pic:cNvPr descr="assets/images/primary-channel-four-groups.webp" id="26" name="Picture"/>
                    <pic:cNvPicPr>
                      <a:picLocks noChangeArrowheads="1" noChangeAspect="1"/>
                    </pic:cNvPicPr>
                  </pic:nvPicPr>
                  <pic:blipFill>
                    <a:blip r:embed="rId2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Chapter overview — pathway directions, not a point-location or needling guide.</w:t>
      </w:r>
    </w:p>
    <w:p>
      <w:pPr>
        <w:pStyle w:val="BodyText"/>
      </w:pPr>
      <w:r>
        <w:t xml:space="preserve">Español</w:t>
      </w:r>
    </w:p>
    <w:bookmarkEnd w:id="27"/>
    <w:bookmarkStart w:id="31" w:name="learning-paths"/>
    <w:p>
      <w:pPr>
        <w:pStyle w:val="BodyText"/>
      </w:pPr>
      <w:r>
        <w:t xml:space="preserve">CHAPTER LEARNING PATHS</w:t>
      </w:r>
    </w:p>
    <w:bookmarkStart w:id="30" w:name="learning-paths-title"/>
    <w:p>
      <w:pPr>
        <w:pStyle w:val="Heading2"/>
      </w:pPr>
      <w:r>
        <w:t xml:space="preserve">One Chapter, Two Learning Paths</w:t>
      </w:r>
    </w:p>
    <w:p>
      <w:pPr>
        <w:pStyle w:val="FirstParagraph"/>
      </w:pPr>
      <w:r>
        <w:t xml:space="preserve">Use this chapter to strengthen Board Exam preparation and complete a structured Continuing Education review.</w:t>
      </w:r>
    </w:p>
    <w:p>
      <w:pPr>
        <w:pStyle w:val="BodyText"/>
      </w:pPr>
      <w:r>
        <w:t xml:space="preserve">BOARD PREPARATION</w:t>
      </w:r>
    </w:p>
    <w:bookmarkStart w:id="28" w:name="board-exam-preparation"/>
    <w:p>
      <w:pPr>
        <w:pStyle w:val="Heading3"/>
      </w:pPr>
      <w:r>
        <w:t xml:space="preserve">Board Exam Preparation</w:t>
      </w:r>
    </w:p>
    <w:p>
      <w:pPr>
        <w:pStyle w:val="FirstParagraph"/>
      </w:pPr>
      <w:r>
        <w:t xml:space="preserve">Review essential concepts, practice visual identification and complete the related Board-level activities.</w:t>
      </w:r>
    </w:p>
    <w:p>
      <w:pPr>
        <w:pStyle w:val="BodyText"/>
      </w:pPr>
      <w:hyperlink w:anchor="learning-plan">
        <w:r>
          <w:rPr>
            <w:rStyle w:val="Hyperlink"/>
          </w:rPr>
          <w:t xml:space="preserve">Start Board Preparation</w:t>
        </w:r>
      </w:hyperlink>
    </w:p>
    <w:p>
      <w:pPr>
        <w:pStyle w:val="BodyText"/>
      </w:pPr>
      <w:r>
        <w:t xml:space="preserve">CONTINUING EDUCATION</w:t>
      </w:r>
    </w:p>
    <w:bookmarkEnd w:id="28"/>
    <w:bookmarkStart w:id="29" w:name="continuing-education"/>
    <w:p>
      <w:pPr>
        <w:pStyle w:val="Heading3"/>
      </w:pPr>
      <w:r>
        <w:t xml:space="preserve">Continuing Education</w:t>
      </w:r>
    </w:p>
    <w:p>
      <w:pPr>
        <w:pStyle w:val="FirstParagraph"/>
      </w:pPr>
      <w:r>
        <w:t xml:space="preserve">Follow the CE learning plan, review source-based explanations and complete the Continuing Education review.</w:t>
      </w:r>
    </w:p>
    <w:p>
      <w:pPr>
        <w:pStyle w:val="BodyText"/>
      </w:pPr>
      <w:hyperlink w:anchor="continuing-education-plan">
        <w:r>
          <w:rPr>
            <w:rStyle w:val="Hyperlink"/>
          </w:rPr>
          <w:t xml:space="preserve">Start Continuing Education</w:t>
        </w:r>
      </w:hyperlink>
    </w:p>
    <w:bookmarkEnd w:id="29"/>
    <w:p>
      <w:pPr>
        <w:pStyle w:val="BodyText"/>
      </w:pPr>
      <w:r>
        <w:t xml:space="preserve">This chapter supports Board preparation and Continuing Education review. Board progress and Continuing Education completion, credit and certificate records remain separate.</w:t>
      </w:r>
    </w:p>
    <w:bookmarkEnd w:id="30"/>
    <w:bookmarkEnd w:id="31"/>
    <w:bookmarkStart w:id="34" w:name="study-needs-survey"/>
    <w:p>
      <w:pPr>
        <w:pStyle w:val="BodyText"/>
      </w:pPr>
      <w:r>
        <w:t xml:space="preserve">BEFORE YOU STUDY · 3–5 MINUTES</w:t>
      </w:r>
    </w:p>
    <w:bookmarkStart w:id="32" w:name="study-needs-title"/>
    <w:p>
      <w:pPr>
        <w:pStyle w:val="Heading2"/>
      </w:pPr>
      <w:r>
        <w:t xml:space="preserve">What do you need from this course?</w:t>
      </w:r>
    </w:p>
    <w:p>
      <w:pPr>
        <w:pStyle w:val="FirstParagraph"/>
      </w:pPr>
      <w:r>
        <w:t xml:space="preserve">Select the areas you believe you need to review and define the result you expect. Your answers will be compared with your final reflection.</w:t>
      </w:r>
    </w:p>
    <w:bookmarkEnd w:id="32"/>
    <w:p>
      <w:pPr>
        <w:pStyle w:val="BodyText"/>
      </w:pPr>
      <w:r>
        <w:t xml:space="preserve">1 · Starting point</w:t>
      </w:r>
    </w:p>
    <w:p>
      <w:pPr>
        <w:pStyle w:val="BodyText"/>
      </w:pPr>
      <w:r>
        <w:t xml:space="preserve">Which topics do you need to review?</w:t>
      </w:r>
    </w:p>
    <w:p>
      <w:pPr>
        <w:pStyle w:val="BodyText"/>
      </w:pPr>
      <w:r>
        <w:t xml:space="preserve">Choose every topic that currently feels uncertain.</w:t>
      </w:r>
    </w:p>
    <w:p>
      <w:pPr>
        <w:pStyle w:val="BodyText"/>
      </w:pPr>
      <w:r>
        <w:t xml:space="preserve">Primary directional groups</w:t>
      </w:r>
    </w:p>
    <w:p>
      <w:pPr>
        <w:pStyle w:val="BodyText"/>
      </w:pPr>
      <w:r>
        <w:t xml:space="preserve">Primary routes and internal branches</w:t>
      </w:r>
    </w:p>
    <w:p>
      <w:pPr>
        <w:pStyle w:val="BodyText"/>
      </w:pPr>
      <w:r>
        <w:t xml:space="preserve">Divergent Channels</w:t>
      </w:r>
    </w:p>
    <w:p>
      <w:pPr>
        <w:pStyle w:val="BodyText"/>
      </w:pPr>
      <w:r>
        <w:t xml:space="preserve">Luo-Connecting Channels</w:t>
      </w:r>
    </w:p>
    <w:p>
      <w:pPr>
        <w:pStyle w:val="BodyText"/>
      </w:pPr>
      <w:r>
        <w:t xml:space="preserve">Sinew Channels</w:t>
      </w:r>
    </w:p>
    <w:p>
      <w:pPr>
        <w:pStyle w:val="BodyText"/>
      </w:pPr>
      <w:r>
        <w:t xml:space="preserve">Extraordinary Vessels</w:t>
      </w:r>
    </w:p>
    <w:p>
      <w:pPr>
        <w:pStyle w:val="BodyText"/>
      </w:pPr>
      <w:r>
        <w:t xml:space="preserve">Anatomical regions</w:t>
      </w:r>
    </w:p>
    <w:p>
      <w:pPr>
        <w:pStyle w:val="BodyText"/>
      </w:pPr>
      <w:r>
        <w:t xml:space="preserve">Internal connections and action words</w:t>
      </w:r>
    </w:p>
    <w:p>
      <w:pPr>
        <w:pStyle w:val="BodyText"/>
      </w:pPr>
      <w:r>
        <w:t xml:space="preserve">Convergence landmarks</w:t>
      </w:r>
    </w:p>
    <w:p>
      <w:pPr>
        <w:pStyle w:val="BodyText"/>
      </w:pPr>
      <w:r>
        <w:t xml:space="preserve">Image identification and look-alikes</w:t>
      </w:r>
    </w:p>
    <w:p>
      <w:pPr>
        <w:pStyle w:val="BodyText"/>
      </w:pPr>
      <w:r>
        <w:t xml:space="preserve">What results do you expect?</w:t>
      </w:r>
    </w:p>
    <w:p>
      <w:pPr>
        <w:pStyle w:val="BodyText"/>
      </w:pPr>
      <w:r>
        <w:t xml:space="preserve">Choose one or more practical outcomes.</w:t>
      </w:r>
    </w:p>
    <w:p>
      <w:pPr>
        <w:pStyle w:val="BodyText"/>
      </w:pPr>
      <w:r>
        <w:t xml:space="preserve">Recognize the channel system</w:t>
      </w:r>
    </w:p>
    <w:p>
      <w:pPr>
        <w:pStyle w:val="BodyText"/>
      </w:pPr>
      <w:r>
        <w:t xml:space="preserve">Trace a complete pathway</w:t>
      </w:r>
    </w:p>
    <w:p>
      <w:pPr>
        <w:pStyle w:val="BodyText"/>
      </w:pPr>
      <w:r>
        <w:t xml:space="preserve">Distinguish look-alike routes</w:t>
      </w:r>
    </w:p>
    <w:p>
      <w:pPr>
        <w:pStyle w:val="BodyText"/>
      </w:pPr>
      <w:r>
        <w:t xml:space="preserve">Justify with two landmarks</w:t>
      </w:r>
    </w:p>
    <w:p>
      <w:pPr>
        <w:pStyle w:val="BodyText"/>
      </w:pPr>
      <w:r>
        <w:t xml:space="preserve">Improve my practice-exam score</w:t>
      </w:r>
    </w:p>
    <w:p>
      <w:pPr>
        <w:pStyle w:val="BodyText"/>
      </w:pPr>
      <w:r>
        <w:t xml:space="preserve">Prepare for Board or CE assessment</w:t>
      </w:r>
    </w:p>
    <w:p>
      <w:pPr>
        <w:pStyle w:val="BodyText"/>
      </w:pPr>
      <w:r>
        <w:t xml:space="preserve">How deeply do you plan to study?</w:t>
      </w:r>
    </w:p>
    <w:p>
      <w:pPr>
        <w:pStyle w:val="BodyText"/>
      </w:pPr>
      <w:r>
        <w:rPr>
          <w:b/>
          <w:bCs/>
        </w:rPr>
        <w:t xml:space="preserve">1 · Overview</w:t>
      </w:r>
      <w:r>
        <w:t xml:space="preserve"> </w:t>
      </w:r>
      <w:r>
        <w:t xml:space="preserve">— recognize the main ideas</w:t>
      </w:r>
      <w:r>
        <w:rPr>
          <w:b/>
          <w:bCs/>
        </w:rPr>
        <w:t xml:space="preserve">2 · Working knowledge</w:t>
      </w:r>
      <w:r>
        <w:t xml:space="preserve"> </w:t>
      </w:r>
      <w:r>
        <w:t xml:space="preserve">— answer with notes</w:t>
      </w:r>
      <w:r>
        <w:rPr>
          <w:b/>
          <w:bCs/>
        </w:rPr>
        <w:t xml:space="preserve">3 · Board application</w:t>
      </w:r>
      <w:r>
        <w:t xml:space="preserve"> </w:t>
      </w:r>
      <w:r>
        <w:t xml:space="preserve">— answer independently</w:t>
      </w:r>
      <w:r>
        <w:rPr>
          <w:b/>
          <w:bCs/>
        </w:rPr>
        <w:t xml:space="preserve">4 · Teach-back mastery</w:t>
      </w:r>
      <w:r>
        <w:t xml:space="preserve"> </w:t>
      </w:r>
      <w:r>
        <w:t xml:space="preserve">— explain and defend the answer</w:t>
      </w:r>
    </w:p>
    <w:p>
      <w:pPr>
        <w:pStyle w:val="BodyText"/>
      </w:pPr>
      <w:r>
        <w:t xml:space="preserve">How much study time do you expect to need?</w:t>
      </w:r>
    </w:p>
    <w:p>
      <w:pPr>
        <w:pStyle w:val="BodyText"/>
      </w:pPr>
      <w:r>
        <w:t xml:space="preserve">Less than 30 minutes</w:t>
      </w:r>
      <w:r>
        <w:t xml:space="preserve">30–60 minutes</w:t>
      </w:r>
      <w:r>
        <w:t xml:space="preserve">1–2 hours</w:t>
      </w:r>
      <w:r>
        <w:t xml:space="preserve">2–3 hours</w:t>
      </w:r>
      <w:r>
        <w:t xml:space="preserve">More than 3 hours</w:t>
      </w:r>
    </w:p>
    <w:p>
      <w:pPr>
        <w:pStyle w:val="BodyText"/>
      </w:pPr>
      <w:r>
        <w:t xml:space="preserve">How confident are you right now?</w:t>
      </w:r>
    </w:p>
    <w:p>
      <w:pPr>
        <w:pStyle w:val="BodyText"/>
      </w:pPr>
      <w:r>
        <w:t xml:space="preserve">Use the descriptions—not the number alone—to choose your starting point.</w:t>
      </w:r>
    </w:p>
    <w:p>
      <w:pPr>
        <w:pStyle w:val="BodyText"/>
      </w:pPr>
      <w:r>
        <w:rPr>
          <w:b/>
          <w:bCs/>
        </w:rPr>
        <w:t xml:space="preserve">1 · Not yet</w:t>
      </w:r>
      <w:r>
        <w:t xml:space="preserve">I cannot identify the routes yet.</w:t>
      </w:r>
      <w:r>
        <w:rPr>
          <w:b/>
          <w:bCs/>
        </w:rPr>
        <w:t xml:space="preserve">2 · With notes</w:t>
      </w:r>
      <w:r>
        <w:t xml:space="preserve">I can recognize some routes with help.</w:t>
      </w:r>
      <w:r>
        <w:rPr>
          <w:b/>
          <w:bCs/>
        </w:rPr>
        <w:t xml:space="preserve">3 · Independently</w:t>
      </w:r>
      <w:r>
        <w:t xml:space="preserve">I can answer most pathway questions alone.</w:t>
      </w:r>
      <w:r>
        <w:rPr>
          <w:b/>
          <w:bCs/>
        </w:rPr>
        <w:t xml:space="preserve">4 · I can teach it</w:t>
      </w:r>
      <w:r>
        <w:t xml:space="preserve">I can justify and explain my answers.</w:t>
      </w:r>
    </w:p>
    <w:p>
      <w:pPr>
        <w:pStyle w:val="BodyText"/>
      </w:pPr>
      <w:r>
        <w:t xml:space="preserve">My most important goal for this course</w:t>
      </w:r>
    </w:p>
    <w:p>
      <w:pPr>
        <w:pStyle w:val="BodyText"/>
      </w:pPr>
      <w:r>
        <w:t xml:space="preserve">AUTOMATIC EXAM HISTORY</w:t>
      </w:r>
    </w:p>
    <w:bookmarkStart w:id="33" w:name="you-do-not-need-to-remember-a-score"/>
    <w:p>
      <w:pPr>
        <w:pStyle w:val="Heading3"/>
      </w:pPr>
      <w:r>
        <w:t xml:space="preserve">You do not need to remember a score</w:t>
      </w:r>
    </w:p>
    <w:p>
      <w:pPr>
        <w:pStyle w:val="FirstParagraph"/>
      </w:pPr>
      <w:r>
        <w:t xml:space="preserve">From now on, this guide saves the answers you check in every 10-question practice exam and calculates the results automatically by objective.</w:t>
      </w:r>
    </w:p>
    <w:p>
      <w:pPr>
        <w:pStyle w:val="BodyText"/>
      </w:pPr>
      <w:r>
        <w:rPr>
          <w:b/>
          <w:bCs/>
        </w:rPr>
        <w:t xml:space="preserve">No saved practice exam results yet.</w:t>
      </w:r>
      <w:hyperlink w:anchor="board-level-exam">
        <w:r>
          <w:rPr>
            <w:rStyle w:val="Hyperlink"/>
          </w:rPr>
          <w:t xml:space="preserve">Open Board practice exams</w:t>
        </w:r>
      </w:hyperlink>
    </w:p>
    <w:p>
      <w:pPr>
        <w:pStyle w:val="BodyText"/>
      </w:pPr>
      <w:r>
        <w:t xml:space="preserve">Only practice exams completed inside this guide can be read here. Official Moodle exam scores remain in Moodle Exam History.</w:t>
      </w:r>
    </w:p>
    <w:bookmarkEnd w:id="33"/>
    <w:p>
      <w:pPr>
        <w:pStyle w:val="BodyText"/>
      </w:pPr>
      <w:r>
        <w:t xml:space="preserve">Responses save automatically in this browser.</w:t>
      </w:r>
    </w:p>
    <w:p>
      <w:pPr>
        <w:pStyle w:val="BodyText"/>
      </w:pPr>
      <w:hyperlink w:anchor="objective-1">
        <w:r>
          <w:rPr>
            <w:rStyle w:val="Hyperlink"/>
          </w:rPr>
          <w:t xml:space="preserve">Begin the course →</w:t>
        </w:r>
      </w:hyperlink>
    </w:p>
    <w:bookmarkEnd w:id="34"/>
    <w:p>
      <w:pPr>
        <w:pStyle w:val="BodyText"/>
      </w:pPr>
      <w:r>
        <w:t xml:space="preserve">Course Overview</w:t>
      </w:r>
    </w:p>
    <w:p>
      <w:pPr>
        <w:pStyle w:val="BodyText"/>
      </w:pPr>
      <w:r>
        <w:t xml:space="preserve">COURSE AT A GLANCE</w:t>
      </w:r>
    </w:p>
    <w:bookmarkStart w:id="35" w:name="X8b7763e388477a56e969ec356bc7ed12f4279e4"/>
    <w:p>
      <w:pPr>
        <w:pStyle w:val="Heading2"/>
      </w:pPr>
      <w:r>
        <w:t xml:space="preserve">Recognize, compare and defend a pathway identification</w:t>
      </w:r>
    </w:p>
    <w:p>
      <w:pPr>
        <w:pStyle w:val="FirstParagraph"/>
      </w:pPr>
      <w:r>
        <w:t xml:space="preserve">This chapter transforms a large collection of channel images into one repeatable anatomical reasoning method. Learners compare five channel systems, verify routes with landmarks and explain why the closest alternative does not fit.</w:t>
      </w:r>
    </w:p>
    <w:bookmarkEnd w:id="35"/>
    <w:p>
      <w:pPr>
        <w:pStyle w:val="BodyText"/>
      </w:pPr>
      <w:r>
        <w:rPr>
          <w:b/>
          <w:bCs/>
        </w:rPr>
        <w:t xml:space="preserve">3</w:t>
      </w:r>
      <w:r>
        <w:t xml:space="preserve">hours of structured study</w:t>
      </w:r>
    </w:p>
    <w:p>
      <w:pPr>
        <w:pStyle w:val="BodyText"/>
      </w:pPr>
      <w:r>
        <w:rPr>
          <w:b/>
          <w:bCs/>
        </w:rPr>
        <w:t xml:space="preserve">12</w:t>
      </w:r>
      <w:r>
        <w:t xml:space="preserve">focused objectives</w:t>
      </w:r>
    </w:p>
    <w:p>
      <w:pPr>
        <w:pStyle w:val="BodyText"/>
      </w:pPr>
      <w:r>
        <w:rPr>
          <w:b/>
          <w:bCs/>
        </w:rPr>
        <w:t xml:space="preserve">5</w:t>
      </w:r>
      <w:r>
        <w:t xml:space="preserve">channel systems</w:t>
      </w:r>
    </w:p>
    <w:p>
      <w:pPr>
        <w:pStyle w:val="BodyText"/>
      </w:pPr>
      <w:r>
        <w:rPr>
          <w:b/>
          <w:bCs/>
        </w:rPr>
        <w:t xml:space="preserve">53</w:t>
      </w:r>
      <w:r>
        <w:t xml:space="preserve">anatomical areas</w:t>
      </w:r>
    </w:p>
    <w:p>
      <w:pPr>
        <w:pStyle w:val="BodyText"/>
      </w:pPr>
      <w:r>
        <w:rPr>
          <w:b/>
          <w:bCs/>
        </w:rPr>
        <w:t xml:space="preserve">130</w:t>
      </w:r>
      <w:r>
        <w:t xml:space="preserve">Practice exam questions</w:t>
      </w:r>
    </w:p>
    <w:bookmarkStart w:id="36" w:name="systems-title"/>
    <w:p>
      <w:pPr>
        <w:pStyle w:val="Heading3"/>
      </w:pPr>
      <w:r>
        <w:t xml:space="preserve">Five systems, one comparison framework</w:t>
      </w:r>
    </w:p>
    <w:p>
      <w:pPr>
        <w:pStyle w:val="FirstParagraph"/>
      </w:pPr>
      <w:r>
        <w:t xml:space="preserve">Primary</w:t>
      </w:r>
      <w:r>
        <w:t xml:space="preserve">Divergent</w:t>
      </w:r>
      <w:r>
        <w:t xml:space="preserve">Luo-Connecting</w:t>
      </w:r>
      <w:r>
        <w:t xml:space="preserve">Sinew</w:t>
      </w:r>
      <w:r>
        <w:t xml:space="preserve">Extraordinary</w:t>
      </w:r>
    </w:p>
    <w:bookmarkEnd w:id="36"/>
    <w:bookmarkStart w:id="37" w:name="summary-method-title"/>
    <w:p>
      <w:pPr>
        <w:pStyle w:val="Heading3"/>
      </w:pPr>
      <w:r>
        <w:t xml:space="preserve">The identification method</w:t>
      </w:r>
    </w:p>
    <w:p>
      <w:pPr>
        <w:pStyle w:val="Compact"/>
        <w:numPr>
          <w:ilvl w:val="0"/>
          <w:numId w:val="1001"/>
        </w:numPr>
      </w:pPr>
      <w:r>
        <w:rPr>
          <w:b/>
          <w:bCs/>
        </w:rPr>
        <w:t xml:space="preserve">Classify</w:t>
      </w:r>
      <w:r>
        <w:t xml:space="preserve">Recognize the channel system from its organization.</w:t>
      </w:r>
    </w:p>
    <w:p>
      <w:pPr>
        <w:pStyle w:val="Compact"/>
        <w:numPr>
          <w:ilvl w:val="0"/>
          <w:numId w:val="1001"/>
        </w:numPr>
      </w:pPr>
      <w:r>
        <w:rPr>
          <w:b/>
          <w:bCs/>
        </w:rPr>
        <w:t xml:space="preserve">Locate</w:t>
      </w:r>
      <w:r>
        <w:t xml:space="preserve">Identify surface, depth, direction and anatomical region.</w:t>
      </w:r>
    </w:p>
    <w:p>
      <w:pPr>
        <w:pStyle w:val="Compact"/>
        <w:numPr>
          <w:ilvl w:val="0"/>
          <w:numId w:val="1001"/>
        </w:numPr>
      </w:pPr>
      <w:r>
        <w:rPr>
          <w:b/>
          <w:bCs/>
        </w:rPr>
        <w:t xml:space="preserve">Confirm</w:t>
      </w:r>
      <w:r>
        <w:t xml:space="preserve">Verify the route with two independent landmarks.</w:t>
      </w:r>
    </w:p>
    <w:p>
      <w:pPr>
        <w:pStyle w:val="Compact"/>
        <w:numPr>
          <w:ilvl w:val="0"/>
          <w:numId w:val="1001"/>
        </w:numPr>
      </w:pPr>
      <w:r>
        <w:rPr>
          <w:b/>
          <w:bCs/>
        </w:rPr>
        <w:t xml:space="preserve">Justify</w:t>
      </w:r>
      <w:r>
        <w:t xml:space="preserve">Reject the closest look-alike using contradictory evidence.</w:t>
      </w:r>
    </w:p>
    <w:bookmarkEnd w:id="37"/>
    <w:p>
      <w:pPr>
        <w:pStyle w:val="FirstParagraph"/>
      </w:pPr>
      <w:r>
        <w:rPr>
          <w:b/>
          <w:bCs/>
        </w:rPr>
        <w:t xml:space="preserve">Learning outcome</w:t>
      </w:r>
    </w:p>
    <w:p>
      <w:pPr>
        <w:pStyle w:val="BodyText"/>
      </w:pPr>
      <w:r>
        <w:t xml:space="preserve">By the end of the course, the learner can identify an unfamiliar pathway, name its system, support the answer with anatomical evidence and distinguish it from a plausible alternative.</w:t>
      </w:r>
    </w:p>
    <w:p>
      <w:pPr>
        <w:pStyle w:val="BodyText"/>
      </w:pPr>
      <w:hyperlink w:anchor="learning-plan">
        <w:r>
          <w:rPr>
            <w:rStyle w:val="Hyperlink"/>
          </w:rPr>
          <w:t xml:space="preserve">Open the Board learning plan →</w:t>
        </w:r>
      </w:hyperlink>
    </w:p>
    <w:p>
      <w:pPr>
        <w:pStyle w:val="BodyText"/>
      </w:pPr>
      <w:r>
        <w:t xml:space="preserve">NCBAHM Exam Learning Plan</w:t>
      </w:r>
    </w:p>
    <w:p>
      <w:pPr>
        <w:pStyle w:val="BodyText"/>
      </w:pPr>
      <w:r>
        <w:t xml:space="preserve">Use this pathway for Board preparation. Complete the reading and visual comparisons, then practice without notes before opening the related scored activities.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Learning objective</w:t>
            </w:r>
          </w:p>
        </w:tc>
        <w:tc>
          <w:tcPr/>
          <w:p>
            <w:pPr>
              <w:pStyle w:val="Compact"/>
              <w:jc w:val="left"/>
            </w:pPr>
            <w:r>
              <w:t xml:space="preserve">What the learner will identify</w:t>
            </w:r>
          </w:p>
        </w:tc>
        <w:tc>
          <w:tcPr/>
          <w:p>
            <w:pPr>
              <w:pStyle w:val="Compact"/>
              <w:jc w:val="left"/>
            </w:pPr>
            <w:r>
              <w:t xml:space="preserve">Learning method</w:t>
            </w:r>
          </w:p>
        </w:tc>
      </w:tr>
      <w:tr>
        <w:tc>
          <w:tcPr/>
          <w:p>
            <w:pPr>
              <w:pStyle w:val="Compact"/>
              <w:jc w:val="left"/>
            </w:pPr>
            <w:r>
              <w:t xml:space="preserve">1. Identify the pathway and relative position of the Twelve Primary Channels.</w:t>
            </w:r>
          </w:p>
        </w:tc>
        <w:tc>
          <w:tcPr/>
          <w:p>
            <w:pPr>
              <w:pStyle w:val="Compact"/>
              <w:jc w:val="left"/>
            </w:pPr>
            <w:r>
              <w:t xml:space="preserve">Hand/Foot, Yin/Yang, anterior–middle–posterior position and selected internal pathway landmarks.</w:t>
            </w:r>
          </w:p>
        </w:tc>
        <w:tc>
          <w:tcPr/>
          <w:p>
            <w:pPr>
              <w:pStyle w:val="Compact"/>
              <w:jc w:val="left"/>
            </w:pPr>
            <w:r>
              <w:t xml:space="preserve">Position maps, directional patterns, comparison table and retrieval practice.</w:t>
            </w:r>
          </w:p>
        </w:tc>
      </w:tr>
      <w:tr>
        <w:tc>
          <w:tcPr/>
          <w:p>
            <w:pPr>
              <w:pStyle w:val="Compact"/>
              <w:jc w:val="left"/>
            </w:pPr>
            <w:r>
              <w:t xml:space="preserve">2. Identify the pathways and connections of the Twelve Divergent Channels.</w:t>
            </w:r>
          </w:p>
        </w:tc>
        <w:tc>
          <w:tcPr/>
          <w:p>
            <w:pPr>
              <w:pStyle w:val="Compact"/>
              <w:jc w:val="left"/>
            </w:pPr>
            <w:r>
              <w:t xml:space="preserve">Point of separation, deep entry, zangfu relationship, Yin–Yang pairing and region of re-emergence.</w:t>
            </w:r>
          </w:p>
        </w:tc>
        <w:tc>
          <w:tcPr/>
          <w:p>
            <w:pPr>
              <w:pStyle w:val="Compact"/>
              <w:jc w:val="left"/>
            </w:pPr>
            <w:r>
              <w:t xml:space="preserve">Yang/Yin pattern comparison, paired-channel reasoning and visual identification.</w:t>
            </w:r>
          </w:p>
        </w:tc>
      </w:tr>
      <w:tr>
        <w:tc>
          <w:tcPr/>
          <w:p>
            <w:pPr>
              <w:pStyle w:val="Compact"/>
              <w:jc w:val="left"/>
            </w:pPr>
            <w:r>
              <w:t xml:space="preserve">3. Identify the origin, connection and destination of the Luo-Connecting Channels.</w:t>
            </w:r>
          </w:p>
        </w:tc>
        <w:tc>
          <w:tcPr/>
          <w:p>
            <w:pPr>
              <w:pStyle w:val="Compact"/>
              <w:jc w:val="left"/>
            </w:pPr>
            <w:r>
              <w:t xml:space="preserve">Luo point of origin, internally–externally paired channel and characteristic continuation.</w:t>
            </w:r>
          </w:p>
        </w:tc>
        <w:tc>
          <w:tcPr/>
          <w:p>
            <w:pPr>
              <w:pStyle w:val="Compact"/>
              <w:jc w:val="left"/>
            </w:pPr>
            <w:r>
              <w:t xml:space="preserve">Origin-to-destination table, route cues and image comparison.</w:t>
            </w:r>
          </w:p>
        </w:tc>
      </w:tr>
      <w:tr>
        <w:tc>
          <w:tcPr/>
          <w:p>
            <w:pPr>
              <w:pStyle w:val="Compact"/>
              <w:jc w:val="left"/>
            </w:pPr>
            <w:r>
              <w:t xml:space="preserve">4. Identify the pathways and binding regions of the Twelve Sinew Channels.</w:t>
            </w:r>
          </w:p>
        </w:tc>
        <w:tc>
          <w:tcPr/>
          <w:p>
            <w:pPr>
              <w:pStyle w:val="Compact"/>
              <w:jc w:val="left"/>
            </w:pPr>
            <w:r>
              <w:t xml:space="preserve">Distal origin, limb surface, binding regions and terminal distribution.</w:t>
            </w:r>
          </w:p>
        </w:tc>
        <w:tc>
          <w:tcPr/>
          <w:p>
            <w:pPr>
              <w:pStyle w:val="Compact"/>
              <w:jc w:val="left"/>
            </w:pPr>
            <w:r>
              <w:t xml:space="preserve">Four limb groups, body-chain tracing and visual recognition.</w:t>
            </w:r>
          </w:p>
        </w:tc>
      </w:tr>
      <w:tr>
        <w:tc>
          <w:tcPr/>
          <w:p>
            <w:pPr>
              <w:pStyle w:val="Compact"/>
              <w:jc w:val="left"/>
            </w:pPr>
            <w:r>
              <w:t xml:space="preserve">5. Recognize selected Extraordinary Vessels by their pathway pattern.</w:t>
            </w:r>
          </w:p>
        </w:tc>
        <w:tc>
          <w:tcPr/>
          <w:p>
            <w:pPr>
              <w:pStyle w:val="Compact"/>
              <w:jc w:val="left"/>
            </w:pPr>
            <w:r>
              <w:t xml:space="preserve">Transverse, central, lateral, medial and motility/linking patterns represented in this chapter.</w:t>
            </w:r>
          </w:p>
        </w:tc>
        <w:tc>
          <w:tcPr/>
          <w:p>
            <w:pPr>
              <w:pStyle w:val="Compact"/>
              <w:jc w:val="left"/>
            </w:pPr>
            <w:r>
              <w:t xml:space="preserve">Defining-shape comparison, pathway cues and mixed visual practice.</w:t>
            </w:r>
          </w:p>
        </w:tc>
      </w:tr>
      <w:tr>
        <w:tc>
          <w:tcPr/>
          <w:p>
            <w:pPr>
              <w:pStyle w:val="Compact"/>
              <w:jc w:val="left"/>
            </w:pPr>
            <w:r>
              <w:t xml:space="preserve">6. Differentiate pathways from the same organ family across channel systems.</w:t>
            </w:r>
          </w:p>
        </w:tc>
        <w:tc>
          <w:tcPr/>
          <w:p>
            <w:pPr>
              <w:pStyle w:val="Compact"/>
              <w:jc w:val="left"/>
            </w:pPr>
            <w:r>
              <w:t xml:space="preserve">Primary, Divergent, Luo and Sinew features that share an organ name but differ in organization.</w:t>
            </w:r>
          </w:p>
        </w:tc>
        <w:tc>
          <w:tcPr/>
          <w:p>
            <w:pPr>
              <w:pStyle w:val="Compact"/>
              <w:jc w:val="left"/>
            </w:pPr>
            <w:r>
              <w:t xml:space="preserve">Same-family comparison grids, two-feature contrasts and retrieval practice.</w:t>
            </w:r>
          </w:p>
        </w:tc>
      </w:tr>
      <w:tr>
        <w:tc>
          <w:tcPr/>
          <w:p>
            <w:pPr>
              <w:pStyle w:val="Compact"/>
              <w:jc w:val="left"/>
            </w:pPr>
            <w:r>
              <w:t xml:space="preserve">7. Distinguish visually similar pathways across different channel systems.</w:t>
            </w:r>
          </w:p>
        </w:tc>
        <w:tc>
          <w:tcPr/>
          <w:p>
            <w:pPr>
              <w:pStyle w:val="Compact"/>
              <w:jc w:val="left"/>
            </w:pPr>
            <w:r>
              <w:t xml:space="preserve">Depth, surface, direction, binding, origin and overall geometry in commonly confused routes.</w:t>
            </w:r>
          </w:p>
        </w:tc>
        <w:tc>
          <w:tcPr/>
          <w:p>
            <w:pPr>
              <w:pStyle w:val="Compact"/>
              <w:jc w:val="left"/>
            </w:pPr>
            <w:r>
              <w:t xml:space="preserve">Look-alike comparisons, elimination of distractors and landmark verification.</w:t>
            </w:r>
          </w:p>
        </w:tc>
      </w:tr>
      <w:tr>
        <w:tc>
          <w:tcPr/>
          <w:p>
            <w:pPr>
              <w:pStyle w:val="Compact"/>
              <w:jc w:val="left"/>
            </w:pPr>
            <w:r>
              <w:t xml:space="preserve">8. Justify a mixed pathway identification using system evidence and two landmarks.</w:t>
            </w:r>
          </w:p>
        </w:tc>
        <w:tc>
          <w:tcPr/>
          <w:p>
            <w:pPr>
              <w:pStyle w:val="Compact"/>
              <w:jc w:val="left"/>
            </w:pPr>
            <w:r>
              <w:t xml:space="preserve">Integrated classification of unfamiliar or mixed images with a concise evidence statement.</w:t>
            </w:r>
          </w:p>
        </w:tc>
        <w:tc>
          <w:tcPr/>
          <w:p>
            <w:pPr>
              <w:pStyle w:val="Compact"/>
              <w:jc w:val="left"/>
            </w:pPr>
            <w:r>
              <w:t xml:space="preserve">Four-step analysis, evidence statements, error classification and mixed practice.</w:t>
            </w:r>
          </w:p>
        </w:tc>
      </w:tr>
      <w:tr>
        <w:tc>
          <w:tcPr/>
          <w:p>
            <w:pPr>
              <w:pStyle w:val="Compact"/>
              <w:jc w:val="left"/>
            </w:pPr>
            <w:r>
              <w:t xml:space="preserve">9. Organize channel relationships by anatomical region and body surface.</w:t>
            </w:r>
          </w:p>
        </w:tc>
        <w:tc>
          <w:tcPr/>
          <w:p>
            <w:pPr>
              <w:pStyle w:val="Compact"/>
              <w:jc w:val="left"/>
            </w:pPr>
            <w:r>
              <w:t xml:space="preserve">Pathways reaching the head and neck, upper limb, thorax and back, abdomen and pelvis, lower limb and internal organs.</w:t>
            </w:r>
          </w:p>
        </w:tc>
        <w:tc>
          <w:tcPr/>
          <w:p>
            <w:pPr>
              <w:pStyle w:val="Compact"/>
              <w:jc w:val="left"/>
            </w:pPr>
            <w:r>
              <w:t xml:space="preserve">Searchable regional atlas, zone filters and reverse-recall retrieval.</w:t>
            </w:r>
          </w:p>
        </w:tc>
      </w:tr>
      <w:tr>
        <w:tc>
          <w:tcPr/>
          <w:p>
            <w:pPr>
              <w:pStyle w:val="Compact"/>
              <w:jc w:val="left"/>
            </w:pPr>
            <w:r>
              <w:t xml:space="preserve">10. Analyze internal-organ, cavity and diaphragm relationships.</w:t>
            </w:r>
          </w:p>
        </w:tc>
        <w:tc>
          <w:tcPr/>
          <w:p>
            <w:pPr>
              <w:pStyle w:val="Compact"/>
              <w:jc w:val="left"/>
            </w:pPr>
            <w:r>
              <w:t xml:space="preserve">Routes that enter, connect with, disperse in or traverse zangfu and internal regions.</w:t>
            </w:r>
          </w:p>
        </w:tc>
        <w:tc>
          <w:tcPr/>
          <w:p>
            <w:pPr>
              <w:pStyle w:val="Compact"/>
              <w:jc w:val="left"/>
            </w:pPr>
            <w:r>
              <w:t xml:space="preserve">Verb-based comparison, internal-route maps and exception analysis.</w:t>
            </w:r>
          </w:p>
        </w:tc>
      </w:tr>
      <w:tr>
        <w:tc>
          <w:tcPr/>
          <w:p>
            <w:pPr>
              <w:pStyle w:val="Compact"/>
              <w:jc w:val="left"/>
            </w:pPr>
            <w:r>
              <w:t xml:space="preserve">11. Compare major convergence and transition landmarks.</w:t>
            </w:r>
          </w:p>
        </w:tc>
        <w:tc>
          <w:tcPr/>
          <w:p>
            <w:pPr>
              <w:pStyle w:val="Compact"/>
              <w:jc w:val="left"/>
            </w:pPr>
            <w:r>
              <w:t xml:space="preserve">Shared hubs such as DU-14, BL-1, LI-15, GB-30, the supraclavicular fossa and chest.</w:t>
            </w:r>
          </w:p>
        </w:tc>
        <w:tc>
          <w:tcPr/>
          <w:p>
            <w:pPr>
              <w:pStyle w:val="Compact"/>
              <w:jc w:val="left"/>
            </w:pPr>
            <w:r>
              <w:t xml:space="preserve">Landmark matrices, paired comparisons and pathway reconstruction.</w:t>
            </w:r>
          </w:p>
        </w:tc>
      </w:tr>
      <w:tr>
        <w:tc>
          <w:tcPr/>
          <w:p>
            <w:pPr>
              <w:pStyle w:val="Compact"/>
              <w:jc w:val="left"/>
            </w:pPr>
            <w:r>
              <w:t xml:space="preserve">12. Construct and defend an integrated pathway map for an unfamiliar region.</w:t>
            </w:r>
          </w:p>
        </w:tc>
        <w:tc>
          <w:tcPr/>
          <w:p>
            <w:pPr>
              <w:pStyle w:val="Compact"/>
              <w:jc w:val="left"/>
            </w:pPr>
            <w:r>
              <w:t xml:space="preserve">System, family, direction, depth, action word and two landmark confirmations.</w:t>
            </w:r>
          </w:p>
        </w:tc>
        <w:tc>
          <w:tcPr/>
          <w:p>
            <w:pPr>
              <w:pStyle w:val="Compact"/>
              <w:jc w:val="left"/>
            </w:pPr>
            <w:r>
              <w:t xml:space="preserve">Regional case mapping, evidence statements and structured self-correction.</w:t>
            </w:r>
          </w:p>
        </w:tc>
      </w:tr>
    </w:tbl>
    <w:p>
      <w:pPr>
        <w:pStyle w:val="BodyText"/>
      </w:pPr>
      <w:r>
        <w:t xml:space="preserve">Chapter Reading</w:t>
      </w:r>
    </w:p>
    <w:bookmarkStart w:id="40" w:name="reading-a-pathway-image"/>
    <w:p>
      <w:pPr>
        <w:pStyle w:val="Heading2"/>
      </w:pPr>
      <w:r>
        <w:t xml:space="preserve">Reading a pathway image</w:t>
      </w:r>
    </w:p>
    <w:p>
      <w:pPr>
        <w:pStyle w:val="FirstParagraph"/>
      </w:pPr>
      <w:r>
        <w:t xml:space="preserve">A pathway drawing is a map of relationships. Begin at the extremity and determine whether the route occupies a Yin or Yang surface. On the limbs, compare anterior, middle and posterior positions. Continue tracing toward the trunk and head, noting whether the line remains superficial, enters the zangfu, branches from a Luo point, binds across musculotendinous regions or follows the distinctive course of an Extraordinary Vessel.</w:t>
      </w:r>
    </w:p>
    <w:bookmarkStart w:id="38" w:name="Xbf2bd66ea440d7a154afad10c0005fbdc80e0dd"/>
    <w:p>
      <w:pPr>
        <w:pStyle w:val="Heading3"/>
      </w:pPr>
      <w:r>
        <w:t xml:space="preserve">Do not identify a channel from color alone</w:t>
      </w:r>
    </w:p>
    <w:p>
      <w:pPr>
        <w:pStyle w:val="FirstParagraph"/>
      </w:pPr>
      <w:r>
        <w:t xml:space="preserve">Colors and line styles can change between textbooks and software. Use the anatomical course and system characteristics as primary evidence. Confirm an answer with at least two landmarks.</w:t>
      </w:r>
    </w:p>
    <w:bookmarkEnd w:id="38"/>
    <w:bookmarkStart w:id="39" w:name="separate-external-and-internal-course"/>
    <w:p>
      <w:pPr>
        <w:pStyle w:val="Heading3"/>
      </w:pPr>
      <w:r>
        <w:t xml:space="preserve">Separate external and internal course</w:t>
      </w:r>
    </w:p>
    <w:p>
      <w:pPr>
        <w:pStyle w:val="FirstParagraph"/>
      </w:pPr>
      <w:r>
        <w:t xml:space="preserve">A Primary Channel image may emphasize the point-bearing external course while still showing internal branches. Divergent pathways are recognized by deep paired zangfu relationships and convergence. Luo pathways originate from connecting points and continue toward paired channels or distinctive regions. Sinew pathways spread through superficial muscles, tendons and binding regions without entering the zangfu.</w:t>
      </w:r>
    </w:p>
    <w:bookmarkEnd w:id="39"/>
    <w:bookmarkEnd w:id="40"/>
    <w:p>
      <w:pPr>
        <w:pStyle w:val="BodyText"/>
      </w:pPr>
      <w:r>
        <w:t xml:space="preserve">Objective 1</w:t>
      </w:r>
      <w:r>
        <w:t xml:space="preserve"> </w:t>
      </w:r>
      <w:r>
        <w:t xml:space="preserve">Identify the pathway and relative position of the Twelve Primary Channels</w:t>
      </w:r>
    </w:p>
    <w:p>
      <w:pPr>
        <w:pStyle w:val="BodyText"/>
      </w:pPr>
      <w:r>
        <w:rPr>
          <w:b/>
          <w:bCs/>
        </w:rPr>
        <w:t xml:space="preserve">Board connection:</w:t>
      </w:r>
      <w:r>
        <w:t xml:space="preserve"> </w:t>
      </w:r>
      <w:r>
        <w:t xml:space="preserve">identify a Primary Channel from its limb surface, direction, organ name and characteristic internal or terminal connection.</w:t>
      </w:r>
    </w:p>
    <w:bookmarkStart w:id="45" w:name="the-positional-map"/>
    <w:p>
      <w:pPr>
        <w:pStyle w:val="Heading3"/>
      </w:pPr>
      <w:r>
        <w:t xml:space="preserve">The positional map</w:t>
      </w:r>
    </w:p>
    <w:bookmarkStart w:id="41" w:name="hand-yin-chest-hand"/>
    <w:p>
      <w:pPr>
        <w:pStyle w:val="Heading4"/>
      </w:pPr>
      <w:r>
        <w:t xml:space="preserve">Hand Yin · chest → hand</w:t>
      </w:r>
    </w:p>
    <w:p>
      <w:pPr>
        <w:pStyle w:val="FirstParagraph"/>
      </w:pPr>
      <w:r>
        <w:rPr>
          <w:b/>
          <w:bCs/>
        </w:rPr>
        <w:t xml:space="preserve">Anterior:</w:t>
      </w:r>
      <w:r>
        <w:t xml:space="preserve"> </w:t>
      </w:r>
      <w:r>
        <w:t xml:space="preserve">Lung</w:t>
      </w:r>
    </w:p>
    <w:p>
      <w:pPr>
        <w:pStyle w:val="BodyText"/>
      </w:pPr>
      <w:r>
        <w:rPr>
          <w:b/>
          <w:bCs/>
        </w:rPr>
        <w:t xml:space="preserve">Middle:</w:t>
      </w:r>
      <w:r>
        <w:t xml:space="preserve"> </w:t>
      </w:r>
      <w:r>
        <w:t xml:space="preserve">Pericardium</w:t>
      </w:r>
    </w:p>
    <w:p>
      <w:pPr>
        <w:pStyle w:val="BodyText"/>
      </w:pPr>
      <w:r>
        <w:rPr>
          <w:b/>
          <w:bCs/>
        </w:rPr>
        <w:t xml:space="preserve">Posterior:</w:t>
      </w:r>
      <w:r>
        <w:t xml:space="preserve"> </w:t>
      </w:r>
      <w:r>
        <w:t xml:space="preserve">Heart</w:t>
      </w:r>
    </w:p>
    <w:bookmarkEnd w:id="41"/>
    <w:bookmarkStart w:id="42" w:name="hand-yang-hand-head"/>
    <w:p>
      <w:pPr>
        <w:pStyle w:val="Heading4"/>
      </w:pPr>
      <w:r>
        <w:t xml:space="preserve">Hand Yang · hand → head</w:t>
      </w:r>
    </w:p>
    <w:p>
      <w:pPr>
        <w:pStyle w:val="FirstParagraph"/>
      </w:pPr>
      <w:r>
        <w:rPr>
          <w:b/>
          <w:bCs/>
        </w:rPr>
        <w:t xml:space="preserve">Anterior:</w:t>
      </w:r>
      <w:r>
        <w:t xml:space="preserve"> </w:t>
      </w:r>
      <w:r>
        <w:t xml:space="preserve">Large Intestine</w:t>
      </w:r>
    </w:p>
    <w:p>
      <w:pPr>
        <w:pStyle w:val="BodyText"/>
      </w:pPr>
      <w:r>
        <w:rPr>
          <w:b/>
          <w:bCs/>
        </w:rPr>
        <w:t xml:space="preserve">Middle:</w:t>
      </w:r>
      <w:r>
        <w:t xml:space="preserve"> </w:t>
      </w:r>
      <w:r>
        <w:t xml:space="preserve">Sanjiao</w:t>
      </w:r>
    </w:p>
    <w:p>
      <w:pPr>
        <w:pStyle w:val="BodyText"/>
      </w:pPr>
      <w:r>
        <w:rPr>
          <w:b/>
          <w:bCs/>
        </w:rPr>
        <w:t xml:space="preserve">Posterior:</w:t>
      </w:r>
      <w:r>
        <w:t xml:space="preserve"> </w:t>
      </w:r>
      <w:r>
        <w:t xml:space="preserve">Small Intestine</w:t>
      </w:r>
    </w:p>
    <w:bookmarkEnd w:id="42"/>
    <w:bookmarkStart w:id="43" w:name="foot-yang-head-foot"/>
    <w:p>
      <w:pPr>
        <w:pStyle w:val="Heading4"/>
      </w:pPr>
      <w:r>
        <w:t xml:space="preserve">Foot Yang · head → foot</w:t>
      </w:r>
    </w:p>
    <w:p>
      <w:pPr>
        <w:pStyle w:val="FirstParagraph"/>
      </w:pPr>
      <w:r>
        <w:rPr>
          <w:b/>
          <w:bCs/>
        </w:rPr>
        <w:t xml:space="preserve">Anterior:</w:t>
      </w:r>
      <w:r>
        <w:t xml:space="preserve"> </w:t>
      </w:r>
      <w:r>
        <w:t xml:space="preserve">Stomach</w:t>
      </w:r>
    </w:p>
    <w:p>
      <w:pPr>
        <w:pStyle w:val="BodyText"/>
      </w:pPr>
      <w:r>
        <w:rPr>
          <w:b/>
          <w:bCs/>
        </w:rPr>
        <w:t xml:space="preserve">Middle:</w:t>
      </w:r>
      <w:r>
        <w:t xml:space="preserve"> </w:t>
      </w:r>
      <w:r>
        <w:t xml:space="preserve">Gall Bladder</w:t>
      </w:r>
    </w:p>
    <w:p>
      <w:pPr>
        <w:pStyle w:val="BodyText"/>
      </w:pPr>
      <w:r>
        <w:rPr>
          <w:b/>
          <w:bCs/>
        </w:rPr>
        <w:t xml:space="preserve">Posterior:</w:t>
      </w:r>
      <w:r>
        <w:t xml:space="preserve"> </w:t>
      </w:r>
      <w:r>
        <w:t xml:space="preserve">Bladder</w:t>
      </w:r>
    </w:p>
    <w:bookmarkEnd w:id="43"/>
    <w:bookmarkStart w:id="44" w:name="foot-yin-foot-chest"/>
    <w:p>
      <w:pPr>
        <w:pStyle w:val="Heading4"/>
      </w:pPr>
      <w:r>
        <w:t xml:space="preserve">Foot Yin · foot → chest</w:t>
      </w:r>
    </w:p>
    <w:p>
      <w:pPr>
        <w:pStyle w:val="FirstParagraph"/>
      </w:pPr>
      <w:r>
        <w:rPr>
          <w:b/>
          <w:bCs/>
        </w:rPr>
        <w:t xml:space="preserve">Anterior:</w:t>
      </w:r>
      <w:r>
        <w:t xml:space="preserve"> </w:t>
      </w:r>
      <w:r>
        <w:t xml:space="preserve">Spleen</w:t>
      </w:r>
    </w:p>
    <w:p>
      <w:pPr>
        <w:pStyle w:val="BodyText"/>
      </w:pPr>
      <w:r>
        <w:rPr>
          <w:b/>
          <w:bCs/>
        </w:rPr>
        <w:t xml:space="preserve">Middle:</w:t>
      </w:r>
      <w:r>
        <w:t xml:space="preserve"> </w:t>
      </w:r>
      <w:r>
        <w:t xml:space="preserve">Liver</w:t>
      </w:r>
    </w:p>
    <w:p>
      <w:pPr>
        <w:pStyle w:val="BodyText"/>
      </w:pPr>
      <w:r>
        <w:rPr>
          <w:b/>
          <w:bCs/>
        </w:rPr>
        <w:t xml:space="preserve">Posterior:</w:t>
      </w:r>
      <w:r>
        <w:t xml:space="preserve"> </w:t>
      </w:r>
      <w:r>
        <w:t xml:space="preserve">Kidney</w:t>
      </w:r>
    </w:p>
    <w:bookmarkEnd w:id="44"/>
    <w:bookmarkEnd w:id="45"/>
    <w:bookmarkStart w:id="46" w:name="Xe041fd4452669d81235a7839a06f420f0cc4c91"/>
    <w:p>
      <w:pPr>
        <w:pStyle w:val="Heading3"/>
      </w:pPr>
      <w:r>
        <w:t xml:space="preserve">Selected pathway landmarks from the assigned activities</w:t>
      </w:r>
    </w:p>
    <w:p>
      <w:pPr>
        <w:pStyle w:val="Compact"/>
        <w:numPr>
          <w:ilvl w:val="0"/>
          <w:numId w:val="1002"/>
        </w:numPr>
      </w:pPr>
      <w:r>
        <w:t xml:space="preserve">The Lung channel begins internally in the middle jiao before emerging on the chest.</w:t>
      </w:r>
    </w:p>
    <w:p>
      <w:pPr>
        <w:pStyle w:val="Compact"/>
        <w:numPr>
          <w:ilvl w:val="0"/>
          <w:numId w:val="1002"/>
        </w:numPr>
      </w:pPr>
      <w:r>
        <w:t xml:space="preserve">The Kidney channel begins beneath the little toe/sole region and has an internal branch that reaches the tongue.</w:t>
      </w:r>
    </w:p>
    <w:p>
      <w:pPr>
        <w:pStyle w:val="Compact"/>
        <w:numPr>
          <w:ilvl w:val="0"/>
          <w:numId w:val="1002"/>
        </w:numPr>
      </w:pPr>
      <w:r>
        <w:t xml:space="preserve">The Liver channel has a characteristic relationship with the genital region.</w:t>
      </w:r>
    </w:p>
    <w:p>
      <w:pPr>
        <w:pStyle w:val="Compact"/>
        <w:numPr>
          <w:ilvl w:val="0"/>
          <w:numId w:val="1002"/>
        </w:numPr>
      </w:pPr>
      <w:r>
        <w:t xml:space="preserve">The Small Intestine Primary Channel travels from the little finger along the posterior arm and scapula toward the face and ear.</w:t>
      </w:r>
    </w:p>
    <w:bookmarkEnd w:id="46"/>
    <w:bookmarkStart w:id="47" w:name="X6c1caa7a5675bf8a70aa50aa9fd58c9f0e2c1b3"/>
    <w:p>
      <w:pPr>
        <w:pStyle w:val="Heading3"/>
      </w:pPr>
      <w:r>
        <w:t xml:space="preserve">Visual atlas of the Twelve Primary Channels</w:t>
      </w:r>
    </w:p>
    <w:p>
      <w:pPr>
        <w:pStyle w:val="FirstParagraph"/>
      </w:pPr>
      <w:r>
        <w:t xml:space="preserve">Use the labeled routes below to compare the external point-bearing pathway with important internal branches. In the Small Intestine image, the dashed line descending through the leg is its branch to the Lower He-Sea point at ST-39.</w:t>
      </w:r>
    </w:p>
    <w:p>
      <w:pPr>
        <w:pStyle w:val="BodyText"/>
      </w:pPr>
      <w:r>
        <w:t xml:space="preserve">The T7/UB-17/UB-46 statement from the source quiz belongs to point location rather than channel-pathway identification, so it is intentionally excluded from this objective.</w:t>
      </w:r>
    </w:p>
    <w:bookmarkEnd w:id="47"/>
    <w:p>
      <w:pPr>
        <w:pStyle w:val="BodyText"/>
      </w:pPr>
      <w:r>
        <w:t xml:space="preserve">Objective 2</w:t>
      </w:r>
      <w:r>
        <w:t xml:space="preserve"> </w:t>
      </w:r>
      <w:r>
        <w:t xml:space="preserve">Identify the pathways and connections of the Twelve Divergent Channels</w:t>
      </w:r>
    </w:p>
    <w:p>
      <w:pPr>
        <w:pStyle w:val="BodyText"/>
      </w:pPr>
      <w:r>
        <w:rPr>
          <w:b/>
          <w:bCs/>
        </w:rPr>
        <w:t xml:space="preserve">Board connection:</w:t>
      </w:r>
      <w:r>
        <w:t xml:space="preserve"> </w:t>
      </w:r>
      <w:r>
        <w:t xml:space="preserve">distinguish a Divergent Channel from a superficial Primary, Luo or Sinew pathway and identify its paired-channel relationship.</w:t>
      </w:r>
    </w:p>
    <w:bookmarkStart w:id="48" w:name="yang-divergent-pattern"/>
    <w:p>
      <w:pPr>
        <w:pStyle w:val="Heading3"/>
      </w:pPr>
      <w:r>
        <w:t xml:space="preserve">Yang Divergent pattern</w:t>
      </w:r>
    </w:p>
    <w:p>
      <w:pPr>
        <w:pStyle w:val="Compact"/>
        <w:numPr>
          <w:ilvl w:val="0"/>
          <w:numId w:val="1003"/>
        </w:numPr>
      </w:pPr>
      <w:r>
        <w:t xml:space="preserve">Separates from its Yang Primary Channel on a limb.</w:t>
      </w:r>
    </w:p>
    <w:p>
      <w:pPr>
        <w:pStyle w:val="Compact"/>
        <w:numPr>
          <w:ilvl w:val="0"/>
          <w:numId w:val="1003"/>
        </w:numPr>
      </w:pPr>
      <w:r>
        <w:t xml:space="preserve">Enters the Yang organ and its internally–externally related Yin organ.</w:t>
      </w:r>
    </w:p>
    <w:p>
      <w:pPr>
        <w:pStyle w:val="Compact"/>
        <w:numPr>
          <w:ilvl w:val="0"/>
          <w:numId w:val="1003"/>
        </w:numPr>
      </w:pPr>
      <w:r>
        <w:t xml:space="preserve">Re-emerges around the supraclavicular fossa, neck or face.</w:t>
      </w:r>
    </w:p>
    <w:p>
      <w:pPr>
        <w:pStyle w:val="Compact"/>
        <w:numPr>
          <w:ilvl w:val="0"/>
          <w:numId w:val="1003"/>
        </w:numPr>
      </w:pPr>
      <w:r>
        <w:t xml:space="preserve">Rejoins its Yang Primary Channel.</w:t>
      </w:r>
    </w:p>
    <w:bookmarkEnd w:id="48"/>
    <w:bookmarkStart w:id="49" w:name="yin-divergent-pattern"/>
    <w:p>
      <w:pPr>
        <w:pStyle w:val="Heading3"/>
      </w:pPr>
      <w:r>
        <w:t xml:space="preserve">Yin Divergent pattern</w:t>
      </w:r>
    </w:p>
    <w:p>
      <w:pPr>
        <w:pStyle w:val="Compact"/>
        <w:numPr>
          <w:ilvl w:val="0"/>
          <w:numId w:val="1004"/>
        </w:numPr>
      </w:pPr>
      <w:r>
        <w:t xml:space="preserve">Separates from its Yin Primary Channel on a limb.</w:t>
      </w:r>
    </w:p>
    <w:p>
      <w:pPr>
        <w:pStyle w:val="Compact"/>
        <w:numPr>
          <w:ilvl w:val="0"/>
          <w:numId w:val="1004"/>
        </w:numPr>
      </w:pPr>
      <w:r>
        <w:t xml:space="preserve">Enters its related Yin organ.</w:t>
      </w:r>
    </w:p>
    <w:p>
      <w:pPr>
        <w:pStyle w:val="Compact"/>
        <w:numPr>
          <w:ilvl w:val="0"/>
          <w:numId w:val="1004"/>
        </w:numPr>
      </w:pPr>
      <w:r>
        <w:t xml:space="preserve">Connects with the Divergent Channel of the paired Yang Primary Channel.</w:t>
      </w:r>
    </w:p>
    <w:p>
      <w:pPr>
        <w:pStyle w:val="Compact"/>
        <w:numPr>
          <w:ilvl w:val="0"/>
          <w:numId w:val="1004"/>
        </w:numPr>
      </w:pPr>
      <w:r>
        <w:t xml:space="preserve">Joins the paired Yang Primary Channel.</w:t>
      </w:r>
    </w:p>
    <w:bookmarkEnd w:id="49"/>
    <w:p>
      <w:pPr>
        <w:pStyle w:val="FirstParagraph"/>
      </w:pPr>
      <w:r>
        <w:rPr>
          <w:b/>
          <w:bCs/>
        </w:rPr>
        <w:t xml:space="preserve">Recognition cue:</w:t>
      </w:r>
      <w:r>
        <w:t xml:space="preserve"> </w:t>
      </w:r>
      <w:r>
        <w:t xml:space="preserve">a deep route that enters zangfu and then converges with a paired Yang pathway strongly suggests a Divergent Channel. Divergent Channels do not have an independent sequence of acupuncture points.</w:t>
      </w:r>
    </w:p>
    <w:p>
      <w:pPr>
        <w:pStyle w:val="BodyText"/>
      </w:pPr>
      <w:r>
        <w:t xml:space="preserve">Objective 3</w:t>
      </w:r>
      <w:r>
        <w:t xml:space="preserve"> </w:t>
      </w:r>
      <w:r>
        <w:t xml:space="preserve">Identify the origin, connection and destination of the Luo-Connecting Channels</w:t>
      </w:r>
    </w:p>
    <w:p>
      <w:pPr>
        <w:pStyle w:val="BodyText"/>
      </w:pPr>
      <w:r>
        <w:rPr>
          <w:b/>
          <w:bCs/>
        </w:rPr>
        <w:t xml:space="preserve">Board connection:</w:t>
      </w:r>
      <w:r>
        <w:t xml:space="preserve"> </w:t>
      </w:r>
      <w:r>
        <w:t xml:space="preserve">recognize that a Luo-Connecting Channel is the pathway arising from a Luo point—not the point itself—and trace its connection with the paired channel.</w:t>
      </w:r>
    </w:p>
    <w:p>
      <w:pPr>
        <w:pStyle w:val="BodyText"/>
      </w:pPr>
      <w:r>
        <w:rPr>
          <w:b/>
          <w:bCs/>
        </w:rPr>
        <w:t xml:space="preserve">Three-part method:</w:t>
      </w:r>
      <w:r>
        <w:t xml:space="preserve"> </w:t>
      </w:r>
      <w:r>
        <w:t xml:space="preserve">memorize</w:t>
      </w:r>
      <w:r>
        <w:t xml:space="preserve"> </w:t>
      </w:r>
      <w:r>
        <w:rPr>
          <w:i/>
          <w:iCs/>
        </w:rPr>
        <w:t xml:space="preserve">origin → paired connection → distinctive continuation</w:t>
      </w:r>
      <w:r>
        <w:t xml:space="preserve">. A short branch beginning from a named Luo point is different from the broader course of a Primary or Sinew Channel.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Channel</w:t>
            </w:r>
          </w:p>
        </w:tc>
        <w:tc>
          <w:tcPr/>
          <w:p>
            <w:pPr>
              <w:pStyle w:val="Compact"/>
              <w:jc w:val="left"/>
            </w:pPr>
            <w:r>
              <w:t xml:space="preserve">Origin</w:t>
            </w:r>
          </w:p>
        </w:tc>
        <w:tc>
          <w:tcPr/>
          <w:p>
            <w:pPr>
              <w:pStyle w:val="Compact"/>
              <w:jc w:val="left"/>
            </w:pPr>
            <w:r>
              <w:t xml:space="preserve">Distinctive continuation used for recognition</w:t>
            </w:r>
          </w:p>
        </w:tc>
      </w:tr>
      <w:tr>
        <w:tc>
          <w:tcPr/>
          <w:p>
            <w:pPr>
              <w:pStyle w:val="Compact"/>
              <w:jc w:val="left"/>
            </w:pPr>
            <w:r>
              <w:t xml:space="preserve">Lung</w:t>
            </w:r>
          </w:p>
        </w:tc>
        <w:tc>
          <w:tcPr/>
          <w:p>
            <w:pPr>
              <w:pStyle w:val="Compact"/>
              <w:jc w:val="left"/>
            </w:pPr>
            <w:r>
              <w:t xml:space="preserve">LU-7</w:t>
            </w:r>
          </w:p>
        </w:tc>
        <w:tc>
          <w:tcPr/>
          <w:p>
            <w:pPr>
              <w:pStyle w:val="Compact"/>
              <w:jc w:val="left"/>
            </w:pPr>
            <w:r>
              <w:t xml:space="preserve">Palm and thenar eminence</w:t>
            </w:r>
          </w:p>
        </w:tc>
      </w:tr>
      <w:tr>
        <w:tc>
          <w:tcPr/>
          <w:p>
            <w:pPr>
              <w:pStyle w:val="Compact"/>
              <w:jc w:val="left"/>
            </w:pPr>
            <w:r>
              <w:t xml:space="preserve">Large Intestine</w:t>
            </w:r>
          </w:p>
        </w:tc>
        <w:tc>
          <w:tcPr/>
          <w:p>
            <w:pPr>
              <w:pStyle w:val="Compact"/>
              <w:jc w:val="left"/>
            </w:pPr>
            <w:r>
              <w:t xml:space="preserve">LI-6</w:t>
            </w:r>
          </w:p>
        </w:tc>
        <w:tc>
          <w:tcPr/>
          <w:p>
            <w:pPr>
              <w:pStyle w:val="Compact"/>
              <w:jc w:val="left"/>
            </w:pPr>
            <w:r>
              <w:t xml:space="preserve">Jaw, teeth and ear</w:t>
            </w:r>
          </w:p>
        </w:tc>
      </w:tr>
      <w:tr>
        <w:tc>
          <w:tcPr/>
          <w:p>
            <w:pPr>
              <w:pStyle w:val="Compact"/>
              <w:jc w:val="left"/>
            </w:pPr>
            <w:r>
              <w:t xml:space="preserve">Stomach</w:t>
            </w:r>
          </w:p>
        </w:tc>
        <w:tc>
          <w:tcPr/>
          <w:p>
            <w:pPr>
              <w:pStyle w:val="Compact"/>
              <w:jc w:val="left"/>
            </w:pPr>
            <w:r>
              <w:t xml:space="preserve">ST-40</w:t>
            </w:r>
          </w:p>
        </w:tc>
        <w:tc>
          <w:tcPr/>
          <w:p>
            <w:pPr>
              <w:pStyle w:val="Compact"/>
              <w:jc w:val="left"/>
            </w:pPr>
            <w:r>
              <w:t xml:space="preserve">Nape, head and throat</w:t>
            </w:r>
          </w:p>
        </w:tc>
      </w:tr>
      <w:tr>
        <w:tc>
          <w:tcPr/>
          <w:p>
            <w:pPr>
              <w:pStyle w:val="Compact"/>
              <w:jc w:val="left"/>
            </w:pPr>
            <w:r>
              <w:t xml:space="preserve">Spleen</w:t>
            </w:r>
          </w:p>
        </w:tc>
        <w:tc>
          <w:tcPr/>
          <w:p>
            <w:pPr>
              <w:pStyle w:val="Compact"/>
              <w:jc w:val="left"/>
            </w:pPr>
            <w:r>
              <w:t xml:space="preserve">SP-4</w:t>
            </w:r>
          </w:p>
        </w:tc>
        <w:tc>
          <w:tcPr/>
          <w:p>
            <w:pPr>
              <w:pStyle w:val="Compact"/>
              <w:jc w:val="left"/>
            </w:pPr>
            <w:r>
              <w:t xml:space="preserve">Abdomen, Stomach and intestines</w:t>
            </w:r>
          </w:p>
        </w:tc>
      </w:tr>
      <w:tr>
        <w:tc>
          <w:tcPr/>
          <w:p>
            <w:pPr>
              <w:pStyle w:val="Compact"/>
              <w:jc w:val="left"/>
            </w:pPr>
            <w:r>
              <w:t xml:space="preserve">Heart</w:t>
            </w:r>
          </w:p>
        </w:tc>
        <w:tc>
          <w:tcPr/>
          <w:p>
            <w:pPr>
              <w:pStyle w:val="Compact"/>
              <w:jc w:val="left"/>
            </w:pPr>
            <w:r>
              <w:t xml:space="preserve">HT-5</w:t>
            </w:r>
          </w:p>
        </w:tc>
        <w:tc>
          <w:tcPr/>
          <w:p>
            <w:pPr>
              <w:pStyle w:val="Compact"/>
              <w:jc w:val="left"/>
            </w:pPr>
            <w:r>
              <w:t xml:space="preserve">Heart, root of the tongue and eye</w:t>
            </w:r>
          </w:p>
        </w:tc>
      </w:tr>
      <w:tr>
        <w:tc>
          <w:tcPr/>
          <w:p>
            <w:pPr>
              <w:pStyle w:val="Compact"/>
              <w:jc w:val="left"/>
            </w:pPr>
            <w:r>
              <w:t xml:space="preserve">Small Intestine</w:t>
            </w:r>
          </w:p>
        </w:tc>
        <w:tc>
          <w:tcPr/>
          <w:p>
            <w:pPr>
              <w:pStyle w:val="Compact"/>
              <w:jc w:val="left"/>
            </w:pPr>
            <w:r>
              <w:t xml:space="preserve">SI-7</w:t>
            </w:r>
          </w:p>
        </w:tc>
        <w:tc>
          <w:tcPr/>
          <w:p>
            <w:pPr>
              <w:pStyle w:val="Compact"/>
              <w:jc w:val="left"/>
            </w:pPr>
            <w:r>
              <w:t xml:space="preserve">Shoulder</w:t>
            </w:r>
          </w:p>
        </w:tc>
      </w:tr>
      <w:tr>
        <w:tc>
          <w:tcPr/>
          <w:p>
            <w:pPr>
              <w:pStyle w:val="Compact"/>
              <w:jc w:val="left"/>
            </w:pPr>
            <w:r>
              <w:t xml:space="preserve">Bladder</w:t>
            </w:r>
          </w:p>
        </w:tc>
        <w:tc>
          <w:tcPr/>
          <w:p>
            <w:pPr>
              <w:pStyle w:val="Compact"/>
              <w:jc w:val="left"/>
            </w:pPr>
            <w:r>
              <w:t xml:space="preserve">BL-58</w:t>
            </w:r>
          </w:p>
        </w:tc>
        <w:tc>
          <w:tcPr/>
          <w:p>
            <w:pPr>
              <w:pStyle w:val="Compact"/>
              <w:jc w:val="left"/>
            </w:pPr>
            <w:r>
              <w:t xml:space="preserve">Connects with the Kidney Channel</w:t>
            </w:r>
          </w:p>
        </w:tc>
      </w:tr>
      <w:tr>
        <w:tc>
          <w:tcPr/>
          <w:p>
            <w:pPr>
              <w:pStyle w:val="Compact"/>
              <w:jc w:val="left"/>
            </w:pPr>
            <w:r>
              <w:t xml:space="preserve">Kidney</w:t>
            </w:r>
          </w:p>
        </w:tc>
        <w:tc>
          <w:tcPr/>
          <w:p>
            <w:pPr>
              <w:pStyle w:val="Compact"/>
              <w:jc w:val="left"/>
            </w:pPr>
            <w:r>
              <w:t xml:space="preserve">KID-4</w:t>
            </w:r>
          </w:p>
        </w:tc>
        <w:tc>
          <w:tcPr/>
          <w:p>
            <w:pPr>
              <w:pStyle w:val="Compact"/>
              <w:jc w:val="left"/>
            </w:pPr>
            <w:r>
              <w:t xml:space="preserve">Perineum and lumbar region</w:t>
            </w:r>
          </w:p>
        </w:tc>
      </w:tr>
      <w:tr>
        <w:tc>
          <w:tcPr/>
          <w:p>
            <w:pPr>
              <w:pStyle w:val="Compact"/>
              <w:jc w:val="left"/>
            </w:pPr>
            <w:r>
              <w:t xml:space="preserve">Pericardium</w:t>
            </w:r>
          </w:p>
        </w:tc>
        <w:tc>
          <w:tcPr/>
          <w:p>
            <w:pPr>
              <w:pStyle w:val="Compact"/>
              <w:jc w:val="left"/>
            </w:pPr>
            <w:r>
              <w:t xml:space="preserve">PC-6</w:t>
            </w:r>
          </w:p>
        </w:tc>
        <w:tc>
          <w:tcPr/>
          <w:p>
            <w:pPr>
              <w:pStyle w:val="Compact"/>
              <w:jc w:val="left"/>
            </w:pPr>
            <w:r>
              <w:t xml:space="preserve">Pericardium and Heart</w:t>
            </w:r>
          </w:p>
        </w:tc>
      </w:tr>
      <w:tr>
        <w:tc>
          <w:tcPr/>
          <w:p>
            <w:pPr>
              <w:pStyle w:val="Compact"/>
              <w:jc w:val="left"/>
            </w:pPr>
            <w:r>
              <w:t xml:space="preserve">Sanjiao</w:t>
            </w:r>
          </w:p>
        </w:tc>
        <w:tc>
          <w:tcPr/>
          <w:p>
            <w:pPr>
              <w:pStyle w:val="Compact"/>
              <w:jc w:val="left"/>
            </w:pPr>
            <w:r>
              <w:t xml:space="preserve">SJ-5</w:t>
            </w:r>
          </w:p>
        </w:tc>
        <w:tc>
          <w:tcPr/>
          <w:p>
            <w:pPr>
              <w:pStyle w:val="Compact"/>
              <w:jc w:val="left"/>
            </w:pPr>
            <w:r>
              <w:t xml:space="preserve">Posterior arm and chest connection</w:t>
            </w:r>
          </w:p>
        </w:tc>
      </w:tr>
      <w:tr>
        <w:tc>
          <w:tcPr/>
          <w:p>
            <w:pPr>
              <w:pStyle w:val="Compact"/>
              <w:jc w:val="left"/>
            </w:pPr>
            <w:r>
              <w:t xml:space="preserve">Gall Bladder</w:t>
            </w:r>
          </w:p>
        </w:tc>
        <w:tc>
          <w:tcPr/>
          <w:p>
            <w:pPr>
              <w:pStyle w:val="Compact"/>
              <w:jc w:val="left"/>
            </w:pPr>
            <w:r>
              <w:t xml:space="preserve">GB-37</w:t>
            </w:r>
          </w:p>
        </w:tc>
        <w:tc>
          <w:tcPr/>
          <w:p>
            <w:pPr>
              <w:pStyle w:val="Compact"/>
              <w:jc w:val="left"/>
            </w:pPr>
            <w:r>
              <w:t xml:space="preserve">Dorsum of the foot</w:t>
            </w:r>
          </w:p>
        </w:tc>
      </w:tr>
      <w:tr>
        <w:tc>
          <w:tcPr/>
          <w:p>
            <w:pPr>
              <w:pStyle w:val="Compact"/>
              <w:jc w:val="left"/>
            </w:pPr>
            <w:r>
              <w:t xml:space="preserve">Liver</w:t>
            </w:r>
          </w:p>
        </w:tc>
        <w:tc>
          <w:tcPr/>
          <w:p>
            <w:pPr>
              <w:pStyle w:val="Compact"/>
              <w:jc w:val="left"/>
            </w:pPr>
            <w:r>
              <w:t xml:space="preserve">LIV-5</w:t>
            </w:r>
          </w:p>
        </w:tc>
        <w:tc>
          <w:tcPr/>
          <w:p>
            <w:pPr>
              <w:pStyle w:val="Compact"/>
              <w:jc w:val="left"/>
            </w:pPr>
            <w:r>
              <w:t xml:space="preserve">Genital region</w:t>
            </w:r>
          </w:p>
        </w:tc>
      </w:tr>
    </w:tbl>
    <w:p>
      <w:pPr>
        <w:pStyle w:val="BodyText"/>
      </w:pPr>
      <w:r>
        <w:t xml:space="preserve">Also recognize the special Luo pathways represented in the picture bank: the Governing Vessel Luo and the Great Luo of the Spleen.</w:t>
      </w:r>
    </w:p>
    <w:p>
      <w:pPr>
        <w:pStyle w:val="BodyText"/>
      </w:pPr>
      <w:r>
        <w:t xml:space="preserve">Objective 4</w:t>
      </w:r>
      <w:r>
        <w:t xml:space="preserve"> </w:t>
      </w:r>
      <w:r>
        <w:t xml:space="preserve">Identify the pathways and binding regions of the Twelve Sinew Channels</w:t>
      </w:r>
    </w:p>
    <w:p>
      <w:pPr>
        <w:pStyle w:val="BodyText"/>
      </w:pPr>
      <w:r>
        <w:rPr>
          <w:b/>
          <w:bCs/>
        </w:rPr>
        <w:t xml:space="preserve">Board connection:</w:t>
      </w:r>
      <w:r>
        <w:t xml:space="preserve"> </w:t>
      </w:r>
      <w:r>
        <w:t xml:space="preserve">identify broad superficial musculotendinous routes by distal origin, limb surface, binding regions and terminal distribution.</w:t>
      </w:r>
    </w:p>
    <w:bookmarkStart w:id="50" w:name="distal-origin"/>
    <w:p>
      <w:pPr>
        <w:pStyle w:val="Heading3"/>
      </w:pPr>
      <w:r>
        <w:t xml:space="preserve">Distal origin</w:t>
      </w:r>
    </w:p>
    <w:p>
      <w:pPr>
        <w:pStyle w:val="FirstParagraph"/>
      </w:pPr>
      <w:r>
        <w:t xml:space="preserve">Sinew Channels begin at the extremities, usually at a finger or toe region.</w:t>
      </w:r>
    </w:p>
    <w:bookmarkEnd w:id="50"/>
    <w:bookmarkStart w:id="51" w:name="ascending-course"/>
    <w:p>
      <w:pPr>
        <w:pStyle w:val="Heading3"/>
      </w:pPr>
      <w:r>
        <w:t xml:space="preserve">Ascending course</w:t>
      </w:r>
    </w:p>
    <w:p>
      <w:pPr>
        <w:pStyle w:val="FirstParagraph"/>
      </w:pPr>
      <w:r>
        <w:t xml:space="preserve">They follow the general territory of their associated Primary Channel and ascend toward the trunk or head.</w:t>
      </w:r>
    </w:p>
    <w:bookmarkEnd w:id="51"/>
    <w:bookmarkStart w:id="52" w:name="binding-regions"/>
    <w:p>
      <w:pPr>
        <w:pStyle w:val="Heading3"/>
      </w:pPr>
      <w:r>
        <w:t xml:space="preserve">Binding regions</w:t>
      </w:r>
    </w:p>
    <w:p>
      <w:pPr>
        <w:pStyle w:val="FirstParagraph"/>
      </w:pPr>
      <w:r>
        <w:t xml:space="preserve">They bind at joints and spread through muscles, tendons and broad superficial regions; they do not penetrate the zangfu.</w:t>
      </w:r>
    </w:p>
    <w:bookmarkEnd w:id="52"/>
    <w:p>
      <w:pPr>
        <w:pStyle w:val="BodyText"/>
      </w:pPr>
      <w:r>
        <w:rPr>
          <w:b/>
          <w:bCs/>
        </w:rPr>
        <w:t xml:space="preserve">Recognition cue:</w:t>
      </w:r>
      <w:r>
        <w:t xml:space="preserve"> </w:t>
      </w:r>
      <w:r>
        <w:t xml:space="preserve">if the drawing shows a wide body-chain distribution with several joint or muscle binding areas—but no deep zangfu route—consider a Sinew Channel.</w:t>
      </w:r>
    </w:p>
    <w:bookmarkEnd w:id="53"/>
    <w:sectPr>
      <w:type w:val="nextPage"/>
      <w:pgSz w:h="16838" w:w="11906"/>
      <w:pgMar w:bottom="936" w:footer="0" w:gutter="0" w:header="0" w:left="936" w:right="936" w:top="936"/>
      <w:pgNumType w:fmt="decimal"/>
      <w:formProt w:val="false"/>
      <w:textDirection w:val="lrTb"/>
      <w:docGrid w:charSpace="38911" w:linePitch="6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Georgia">
    <w:altName w:val="serif"/>
    <w:charset w:val="01"/>
    <w:family w:val="auto"/>
    <w:pitch w:val="default"/>
  </w:font>
  <w:font w:name="Symbol">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suff w:val="nothing"/>
      <w:lvlText w:val="%1"/>
      <w:lvlJc w:val="start"/>
      <w:pPr>
        <w:tabs>
          <w:tab w:pos="0" w:val="num"/>
        </w:tabs>
        <w:ind w:hanging="0" w:start="0"/>
      </w:pPr>
    </w:lvl>
    <w:lvl w:ilvl="1">
      <w:start w:val="1"/>
      <w:numFmt w:val="none"/>
      <w:suff w:val="nothing"/>
      <w:lvlText w:val="%2"/>
      <w:lvlJc w:val="start"/>
      <w:pPr>
        <w:tabs>
          <w:tab w:pos="0" w:val="num"/>
        </w:tabs>
        <w:ind w:hanging="0" w:start="0"/>
      </w:pPr>
    </w:lvl>
    <w:lvl w:ilvl="2">
      <w:start w:val="1"/>
      <w:numFmt w:val="none"/>
      <w:suff w:val="nothing"/>
      <w:lvlText w:val="%3"/>
      <w:lvlJc w:val="start"/>
      <w:pPr>
        <w:tabs>
          <w:tab w:pos="0" w:val="num"/>
        </w:tabs>
        <w:ind w:hanging="0" w:start="0"/>
      </w:pPr>
    </w:lvl>
    <w:lvl w:ilvl="3">
      <w:start w:val="1"/>
      <w:numFmt w:val="none"/>
      <w:suff w:val="nothing"/>
      <w:lvlText w:val="%4"/>
      <w:lvlJc w:val="start"/>
      <w:pPr>
        <w:tabs>
          <w:tab w:pos="0" w:val="num"/>
        </w:tabs>
        <w:ind w:hanging="0" w:start="0"/>
      </w:pPr>
    </w:lvl>
    <w:lvl w:ilvl="4">
      <w:start w:val="1"/>
      <w:numFmt w:val="none"/>
      <w:suff w:val="nothing"/>
      <w:lvlText w:val="%5"/>
      <w:lvlJc w:val="start"/>
      <w:pPr>
        <w:tabs>
          <w:tab w:pos="0" w:val="num"/>
        </w:tabs>
        <w:ind w:hanging="0" w:start="0"/>
      </w:pPr>
    </w:lvl>
    <w:lvl w:ilvl="5">
      <w:start w:val="1"/>
      <w:numFmt w:val="none"/>
      <w:suff w:val="nothing"/>
      <w:lvlText w:val="%6"/>
      <w:lvlJc w:val="start"/>
      <w:pPr>
        <w:tabs>
          <w:tab w:pos="0" w:val="num"/>
        </w:tabs>
        <w:ind w:hanging="0" w:start="0"/>
      </w:pPr>
    </w:lvl>
    <w:lvl w:ilvl="6">
      <w:start w:val="1"/>
      <w:numFmt w:val="none"/>
      <w:suff w:val="nothing"/>
      <w:lvlText w:val="%7"/>
      <w:lvlJc w:val="start"/>
      <w:pPr>
        <w:tabs>
          <w:tab w:pos="0" w:val="num"/>
        </w:tabs>
        <w:ind w:hanging="0" w:start="0"/>
      </w:pPr>
    </w:lvl>
    <w:lvl w:ilvl="7">
      <w:start w:val="1"/>
      <w:numFmt w:val="none"/>
      <w:suff w:val="nothing"/>
      <w:lvlText w:val="%8"/>
      <w:lvlJc w:val="start"/>
      <w:pPr>
        <w:tabs>
          <w:tab w:pos="0" w:val="num"/>
        </w:tabs>
        <w:ind w:hanging="0" w:start="0"/>
      </w:pPr>
    </w:lvl>
    <w:lvl w:ilvl="8">
      <w:start w:val="1"/>
      <w:numFmt w:val="none"/>
      <w:suff w:val="nothing"/>
      <w:lvlText w:val="%9"/>
      <w:lvlJc w:val="start"/>
      <w:pPr>
        <w:tabs>
          <w:tab w:pos="0" w:val="num"/>
        </w:tabs>
        <w:ind w:hanging="0" w:start="0"/>
      </w:pPr>
    </w:lvl>
  </w:abstractNum>
  <w:abstractNum w:abstractNumId="2">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1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1134"/>
  <w:autoHyphenation w:val="true"/>
  <w:hyphenationZone w:val="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Noto Sans"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val="false"/>
      <w:kinsoku w:val="true"/>
      <w:overflowPunct w:val="true"/>
      <w:autoSpaceDE w:val="true"/>
      <w:bidi w:val="0"/>
      <w:spacing w:line="348" w:lineRule="auto"/>
    </w:pPr>
    <w:rPr>
      <w:rFonts w:ascii="Arial;sans-serif" w:cs="Arial;sans-serif" w:eastAsia="Arial;sans-serif" w:hAnsi="Arial;sans-serif"/>
      <w:color w:val="173247"/>
      <w:sz w:val="21"/>
      <w:szCs w:val="21"/>
      <w:lang w:bidi="hi-IN" w:eastAsia="zh-CN" w:val="en-US"/>
    </w:rPr>
  </w:style>
  <w:style w:styleId="Heading1" w:type="paragraph">
    <w:name w:val="heading 1"/>
    <w:basedOn w:val="Heading"/>
    <w:next w:val="BodyText"/>
    <w:qFormat/>
    <w:pPr>
      <w:keepNext w:val="true"/>
      <w:spacing w:after="80" w:before="200"/>
      <w:ind w:end="200" w:start="200"/>
    </w:pPr>
    <w:rPr>
      <w:b/>
      <w:bCs/>
      <w:color w:val="0A7474"/>
      <w:sz w:val="52"/>
      <w:szCs w:val="52"/>
    </w:rPr>
  </w:style>
  <w:style w:styleId="Heading2" w:type="paragraph">
    <w:name w:val="heading 2"/>
    <w:basedOn w:val="Heading"/>
    <w:next w:val="BodyText"/>
    <w:qFormat/>
    <w:pPr>
      <w:keepNext w:val="true"/>
      <w:numPr>
        <w:ilvl w:val="0"/>
        <w:numId w:val="0"/>
      </w:numPr>
      <w:pBdr>
        <w:bottom w:color="EADFF3" w:space="5" w:sz="12" w:val="single"/>
      </w:pBdr>
      <w:spacing w:after="120" w:before="440"/>
      <w:outlineLvl w:val="1"/>
    </w:pPr>
    <w:rPr>
      <w:rFonts w:ascii="Liberation Serif" w:cs="Noto Sans" w:eastAsia="Noto Serif CJK SC" w:hAnsi="Liberation Serif"/>
      <w:b/>
      <w:bCs/>
      <w:color w:val="68408F"/>
      <w:sz w:val="34"/>
      <w:szCs w:val="34"/>
    </w:rPr>
  </w:style>
  <w:style w:styleId="Heading3" w:type="paragraph">
    <w:name w:val="heading 3"/>
    <w:basedOn w:val="Heading"/>
    <w:next w:val="BodyText"/>
    <w:qFormat/>
    <w:pPr>
      <w:keepNext w:val="true"/>
      <w:numPr>
        <w:ilvl w:val="0"/>
        <w:numId w:val="0"/>
      </w:numPr>
      <w:spacing w:after="80" w:before="280"/>
      <w:ind w:end="280" w:start="280"/>
      <w:outlineLvl w:val="2"/>
    </w:pPr>
    <w:rPr>
      <w:rFonts w:ascii="Liberation Serif" w:cs="Noto Sans" w:eastAsia="Noto Serif CJK SC" w:hAnsi="Liberation Serif"/>
      <w:b/>
      <w:bCs/>
      <w:color w:val="0A7474"/>
      <w:sz w:val="24"/>
      <w:szCs w:val="24"/>
    </w:rPr>
  </w:style>
  <w:style w:styleId="EndnoteReference" w:type="character">
    <w:name w:val="endnote reference"/>
    <w:rPr>
      <w:vertAlign w:val="superscript"/>
    </w:rPr>
  </w:style>
  <w:style w:styleId="FootnoteReference" w:type="character">
    <w:name w:val="footnote reference"/>
    <w:rPr>
      <w:vertAlign w:val="superscript"/>
    </w:rPr>
  </w:style>
  <w:style w:styleId="EndnoteCharacters" w:type="character">
    <w:name w:val="Endnote Characters"/>
    <w:qFormat/>
    <w:rPr/>
  </w:style>
  <w:style w:styleId="FootnoteCharacters" w:type="character">
    <w:name w:val="Footnote Characters"/>
    <w:qFormat/>
    <w:rPr/>
  </w:style>
  <w:style w:styleId="Hyperlink" w:type="character">
    <w:name w:val="Hyperlink"/>
    <w:rPr>
      <w:color w:val="000080"/>
      <w:u w:val="single"/>
    </w:rPr>
  </w:style>
  <w:style w:styleId="Strong" w:type="character">
    <w:name w:val="Strong"/>
    <w:qFormat/>
    <w:rPr>
      <w:b/>
      <w:bCs/>
    </w:rPr>
  </w:style>
  <w:style w:styleId="NumberingSymbols" w:type="character">
    <w:name w:val="Numbering Symbols"/>
    <w:qFormat/>
    <w:rPr/>
  </w:style>
  <w:style w:styleId="Bullets" w:type="character">
    <w:name w:val="Bullets"/>
    <w:qFormat/>
    <w:rPr>
      <w:rFonts w:ascii="OpenSymbol" w:cs="OpenSymbol" w:eastAsia="OpenSymbol" w:hAnsi="OpenSymbol"/>
    </w:rPr>
  </w:style>
  <w:style w:styleId="Emphasis" w:type="character">
    <w:name w:val="Emphasis"/>
    <w:qFormat/>
    <w:rPr>
      <w:i/>
      <w:iCs/>
    </w:rPr>
  </w:style>
  <w:style w:styleId="HorizontalLine" w:type="paragraph">
    <w:name w:val="Horizontal Line"/>
    <w:basedOn w:val="Normal"/>
    <w:next w:val="BodyText"/>
    <w:qFormat/>
    <w:pPr>
      <w:pBdr>
        <w:bottom w:color="808080" w:space="0" w:sz="2" w:val="double"/>
      </w:pBdr>
      <w:spacing w:after="283" w:before="0"/>
    </w:pPr>
    <w:rPr>
      <w:sz w:val="12"/>
    </w:rPr>
  </w:style>
  <w:style w:styleId="BodyText" w:type="paragraph">
    <w:name w:val="Body Text"/>
    <w:basedOn w:val="Normal"/>
    <w:pPr>
      <w:spacing w:after="160" w:before="100"/>
      <w:ind w:end="100" w:start="100"/>
    </w:pPr>
    <w:rPr/>
  </w:style>
  <w:style w:styleId="EnvelopeReturn" w:type="paragraph">
    <w:name w:val="envelope return"/>
    <w:basedOn w:val="Normal"/>
    <w:pPr/>
    <w:rPr>
      <w:i/>
    </w:rPr>
  </w:style>
  <w:style w:styleId="TableContents" w:type="paragraph">
    <w:name w:val="Table Contents"/>
    <w:basedOn w:val="BodyText"/>
    <w:qFormat/>
    <w:pPr/>
    <w:rPr/>
  </w:style>
  <w:style w:styleId="Heading" w:type="paragraph">
    <w:name w:val="Heading"/>
    <w:basedOn w:val="Normal"/>
    <w:next w:val="BodyText"/>
    <w:qFormat/>
    <w:pPr>
      <w:keepNext w:val="true"/>
      <w:spacing w:after="283" w:before="240"/>
    </w:pPr>
    <w:rPr>
      <w:rFonts w:ascii="Liberation Sans" w:hAnsi="Liberation Sans"/>
      <w:sz w:val="28"/>
      <w:szCs w:val="28"/>
    </w:rPr>
  </w:style>
  <w:style w:styleId="Index" w:type="paragraph">
    <w:name w:val="Index"/>
    <w:basedOn w:val="Normal"/>
    <w:qFormat/>
    <w:pPr>
      <w:suppressLineNumbers/>
    </w:pPr>
    <w:rPr>
      <w:rFonts w:cs="Noto Sans"/>
    </w:rPr>
  </w:style>
  <w:style w:styleId="Caption" w:type="paragraph">
    <w:name w:val="caption"/>
    <w:basedOn w:val="Normal"/>
    <w:qFormat/>
    <w:pPr>
      <w:suppressLineNumbers/>
      <w:spacing w:after="120" w:before="120"/>
    </w:pPr>
    <w:rPr>
      <w:rFonts w:cs="Noto Sans"/>
      <w:i/>
      <w:iCs/>
      <w:sz w:val="24"/>
      <w:szCs w:val="24"/>
    </w:rPr>
  </w:style>
  <w:style w:styleId="List" w:type="paragraph">
    <w:name w:val="List"/>
    <w:basedOn w:val="BodyText"/>
    <w:pPr/>
    <w:rPr>
      <w:rFonts w:cs="Noto Sans"/>
    </w:rPr>
  </w:style>
  <w:style w:styleId="BodyTextsmall" w:type="paragraph">
    <w:name w:val="Body Text.small"/>
    <w:basedOn w:val="BodyText"/>
    <w:qFormat/>
    <w:pPr/>
    <w:rPr>
      <w:color w:val="5B6D78"/>
      <w:sz w:val="18"/>
      <w:szCs w:val="18"/>
    </w:rPr>
  </w:style>
  <w:style w:styleId="TableHeading" w:type="paragraph">
    <w:name w:val="Table Heading"/>
    <w:basedOn w:val="TableContents"/>
    <w:qFormat/>
    <w:pPr>
      <w:suppressLineNumbers/>
      <w:jc w:val="start"/>
    </w:pPr>
    <w:rPr>
      <w:b/>
      <w:bCs/>
      <w:color w:val="FFFFFF"/>
    </w:rPr>
  </w:style>
  <w:style w:styleId="Heading2page-break" w:type="paragraph">
    <w:name w:val="Heading 2.page-break"/>
    <w:basedOn w:val="Heading2"/>
    <w:qFormat/>
    <w:pPr>
      <w:pageBreakBefore/>
    </w:pPr>
    <w:rPr/>
  </w:style>
  <w:style w:styleId="BodyTextfooter-note" w:type="paragraph">
    <w:name w:val="Body Text.footer-note"/>
    <w:basedOn w:val="BodyText"/>
    <w:qFormat/>
    <w:pPr>
      <w:spacing w:after="160" w:before="400"/>
      <w:jc w:val="center"/>
    </w:pPr>
    <w:rPr>
      <w:color w:val="687984"/>
      <w:sz w:val="17"/>
      <w:szCs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webp" /><Relationship Type="http://schemas.openxmlformats.org/officeDocument/2006/relationships/hyperlink" Id="rId21" Target="assets/downloads/Channel%20Pathways%20Practice%20Exam%20Question%20Collection.docx" TargetMode="External" /><Relationship Type="http://schemas.openxmlformats.org/officeDocument/2006/relationships/hyperlink" Id="rId20" Target="assets/downloads/board-study-workbook.docx" TargetMode="External" /></Relationships>
</file>

<file path=word/_rels/footnotes.xml.rels><?xml version="1.0" encoding="UTF-8"?><Relationships xmlns="http://schemas.openxmlformats.org/package/2006/relationships"><Relationship Type="http://schemas.openxmlformats.org/officeDocument/2006/relationships/hyperlink" Id="rId21" Target="assets/downloads/Channel%20Pathways%20Practice%20Exam%20Question%20Collection.docx" TargetMode="External" /><Relationship Type="http://schemas.openxmlformats.org/officeDocument/2006/relationships/hyperlink" Id="rId20" Target="assets/downloads/board-study-workbook.docx"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ages>10</Pages>
  <Words>5828</Words>
  <Characters>31684</Characters>
  <CharactersWithSpaces>36214</CharactersWithSpaces>
  <Paragraphs>848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Channel Pathways — Part 1: Foundations and Objectives 1–4</dc:title>
  <dc:creator/>
  <cp:keywords/>
  <dcterms:created xsi:type="dcterms:W3CDTF">2026-10-23T16:41:45Z</dcterms:created>
  <dcterms:modified xsi:type="dcterms:W3CDTF">2026-10-23T16:41:45Z</dcterms:modified>
</cp:coreProperties>
</file>

<file path=docProps/custom.xml><?xml version="1.0" encoding="utf-8"?>
<Properties xmlns="http://schemas.openxmlformats.org/officeDocument/2006/custom-properties" xmlns:vt="http://schemas.openxmlformats.org/officeDocument/2006/docPropsVTypes"/>
</file>