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Channel</w:t>
      </w:r>
      <w:r>
        <w:t xml:space="preserve"> </w:t>
      </w:r>
      <w:r>
        <w:t xml:space="preserve">Pathways</w:t>
      </w:r>
      <w:r>
        <w:t xml:space="preserve"> </w:t>
      </w:r>
      <w:r>
        <w:t xml:space="preserve">—</w:t>
      </w:r>
      <w:r>
        <w:t xml:space="preserve"> </w:t>
      </w:r>
      <w:r>
        <w:t xml:space="preserve">Part</w:t>
      </w:r>
      <w:r>
        <w:t xml:space="preserve"> </w:t>
      </w:r>
      <w:r>
        <w:t xml:space="preserve">2:</w:t>
      </w:r>
      <w:r>
        <w:t xml:space="preserve"> </w:t>
      </w:r>
      <w:r>
        <w:t xml:space="preserve">Objectives</w:t>
      </w:r>
      <w:r>
        <w:t xml:space="preserve"> </w:t>
      </w:r>
      <w:r>
        <w:t xml:space="preserve">5–8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channel-pathways-part-2-objectives-58"/>
    <w:p>
      <w:pPr>
        <w:pStyle w:val="Heading1"/>
      </w:pPr>
      <w:r>
        <w:t xml:space="preserve">Channel Pathways — Part 2: Objectives 5–8</w:t>
      </w:r>
    </w:p>
    <w:p>
      <w:pPr>
        <w:pStyle w:val="FirstParagraph"/>
      </w:pPr>
      <w:r>
        <w:t xml:space="preserve">Acupuncture &amp; Point Location — Channel Pathway Identification</w:t>
      </w:r>
    </w:p>
    <w:p>
      <w:pPr>
        <w:pStyle w:val="BodyText"/>
      </w:pPr>
      <w:r>
        <w:t xml:space="preserve">Objective 5</w:t>
      </w:r>
      <w:r>
        <w:t xml:space="preserve"> </w:t>
      </w:r>
      <w:r>
        <w:t xml:space="preserve">Recognize selected Extraordinary Vessels by their pathway pattern</w:t>
      </w:r>
    </w:p>
    <w:p>
      <w:pPr>
        <w:pStyle w:val="BodyText"/>
      </w:pPr>
      <w:r>
        <w:rPr>
          <w:b/>
          <w:bCs/>
        </w:rPr>
        <w:t xml:space="preserve">Board connection:</w:t>
      </w:r>
      <w:r>
        <w:t xml:space="preserve"> </w:t>
      </w:r>
      <w:r>
        <w:t xml:space="preserve">use the direction and overall geometry of the pathway to distinguish selected Extraordinary Vessels from the twelve-channel systems.</w:t>
      </w:r>
    </w:p>
    <w:bookmarkStart w:id="20" w:name="dai-mai-girdling"/>
    <w:p>
      <w:pPr>
        <w:pStyle w:val="Heading4"/>
      </w:pPr>
      <w:r>
        <w:t xml:space="preserve">Dai Mai · Girdling</w:t>
      </w:r>
    </w:p>
    <w:p>
      <w:pPr>
        <w:pStyle w:val="FirstParagraph"/>
      </w:pPr>
      <w:r>
        <w:t xml:space="preserve">Transverse, belt-like course around the waist.</w:t>
      </w:r>
    </w:p>
    <w:bookmarkEnd w:id="20"/>
    <w:bookmarkStart w:id="21" w:name="chong-mai-penetrating"/>
    <w:p>
      <w:pPr>
        <w:pStyle w:val="Heading4"/>
      </w:pPr>
      <w:r>
        <w:t xml:space="preserve">Chong Mai · Penetrating</w:t>
      </w:r>
    </w:p>
    <w:p>
      <w:pPr>
        <w:pStyle w:val="FirstParagraph"/>
      </w:pPr>
      <w:r>
        <w:t xml:space="preserve">Deep central distribution through the lower abdomen and trunk.</w:t>
      </w:r>
    </w:p>
    <w:bookmarkEnd w:id="21"/>
    <w:bookmarkStart w:id="22" w:name="yang-wei-mai-yang-linking"/>
    <w:p>
      <w:pPr>
        <w:pStyle w:val="Heading4"/>
      </w:pPr>
      <w:r>
        <w:t xml:space="preserve">Yang Wei Mai · Yang Linking</w:t>
      </w:r>
    </w:p>
    <w:p>
      <w:pPr>
        <w:pStyle w:val="FirstParagraph"/>
      </w:pPr>
      <w:r>
        <w:t xml:space="preserve">Links Yang regions along the lateral body, shoulder and head.</w:t>
      </w:r>
    </w:p>
    <w:bookmarkEnd w:id="22"/>
    <w:bookmarkStart w:id="23" w:name="yang-qiao-mai-yang-motility"/>
    <w:p>
      <w:pPr>
        <w:pStyle w:val="Heading4"/>
      </w:pPr>
      <w:r>
        <w:t xml:space="preserve">Yang Qiao Mai · Yang Motility</w:t>
      </w:r>
    </w:p>
    <w:p>
      <w:pPr>
        <w:pStyle w:val="FirstParagraph"/>
      </w:pPr>
      <w:r>
        <w:t xml:space="preserve">Rises from the lateral heel through the lateral body toward the eye.</w:t>
      </w:r>
    </w:p>
    <w:bookmarkEnd w:id="23"/>
    <w:bookmarkStart w:id="24" w:name="yin-wei-mai-yin-linking"/>
    <w:p>
      <w:pPr>
        <w:pStyle w:val="Heading4"/>
      </w:pPr>
      <w:r>
        <w:t xml:space="preserve">Yin Wei Mai · Yin Linking</w:t>
      </w:r>
    </w:p>
    <w:p>
      <w:pPr>
        <w:pStyle w:val="FirstParagraph"/>
      </w:pPr>
      <w:r>
        <w:t xml:space="preserve">Rises along the medial lower limb through the abdomen and chest toward the throat.</w:t>
      </w:r>
    </w:p>
    <w:bookmarkEnd w:id="24"/>
    <w:p>
      <w:pPr>
        <w:pStyle w:val="BodyText"/>
      </w:pPr>
      <w:r>
        <w:t xml:space="preserve">Objective 6</w:t>
      </w:r>
      <w:r>
        <w:t xml:space="preserve"> </w:t>
      </w:r>
      <w:r>
        <w:t xml:space="preserve">Differentiate pathways from the same organ family across channel systems</w:t>
      </w:r>
    </w:p>
    <w:p>
      <w:pPr>
        <w:pStyle w:val="BodyText"/>
      </w:pPr>
      <w:r>
        <w:rPr>
          <w:b/>
          <w:bCs/>
        </w:rPr>
        <w:t xml:space="preserve">Integrated comparison:</w:t>
      </w:r>
      <w:r>
        <w:t xml:space="preserve"> </w:t>
      </w:r>
      <w:r>
        <w:t xml:space="preserve">an organ name alone is not an identification. Compare how Primary, Divergent, Luo-Connecting and Sinew routes organize the same family.</w:t>
      </w:r>
    </w:p>
    <w:bookmarkStart w:id="25" w:name="primary-vs-divergent"/>
    <w:p>
      <w:pPr>
        <w:pStyle w:val="Heading3"/>
      </w:pPr>
      <w:r>
        <w:t xml:space="preserve">Primary vs Divergent</w:t>
      </w:r>
    </w:p>
    <w:p>
      <w:pPr>
        <w:pStyle w:val="FirstParagraph"/>
      </w:pPr>
      <w:r>
        <w:t xml:space="preserve">The Primary route supplies the directional, surface and point-bearing reference map. The Divergent route separates, enters deeply, relates to paired zangfu and converges through a Yang pathway.</w:t>
      </w:r>
    </w:p>
    <w:bookmarkEnd w:id="25"/>
    <w:bookmarkStart w:id="26" w:name="luo-vs-sinew"/>
    <w:p>
      <w:pPr>
        <w:pStyle w:val="Heading3"/>
      </w:pPr>
      <w:r>
        <w:t xml:space="preserve">Luo vs Sinew</w:t>
      </w:r>
    </w:p>
    <w:p>
      <w:pPr>
        <w:pStyle w:val="FirstParagraph"/>
      </w:pPr>
      <w:r>
        <w:t xml:space="preserve">The Luo route begins at a named Luo point and connects to a paired channel or distinctive destination. The Sinew route begins distally, spreads superficially and binds at joints.</w:t>
      </w:r>
    </w:p>
    <w:bookmarkEnd w:id="26"/>
    <w:bookmarkStart w:id="30" w:name="X540d1d36e38ec28fd694692da6824b922fad143"/>
    <w:p>
      <w:pPr>
        <w:pStyle w:val="Heading3"/>
      </w:pPr>
      <w:r>
        <w:t xml:space="preserve">Compare one family inside one anatomical area</w:t>
      </w:r>
    </w:p>
    <w:bookmarkStart w:id="27" w:name="kidney-family-heel"/>
    <w:p>
      <w:pPr>
        <w:pStyle w:val="Heading4"/>
      </w:pPr>
      <w:r>
        <w:t xml:space="preserve">Kidney family · Heel</w:t>
      </w:r>
    </w:p>
    <w:p>
      <w:pPr>
        <w:pStyle w:val="FirstParagraph"/>
      </w:pPr>
      <w:r>
        <w:t xml:space="preserve">Primary enters the heel, Luo encircles it, and both Divergent and Sinew bind there. The shared area is not enough—the action identifies the system.</w:t>
      </w:r>
    </w:p>
    <w:bookmarkEnd w:id="27"/>
    <w:bookmarkStart w:id="28" w:name="bladder-family-spine"/>
    <w:p>
      <w:pPr>
        <w:pStyle w:val="Heading4"/>
      </w:pPr>
      <w:r>
        <w:t xml:space="preserve">Bladder family · Spine</w:t>
      </w:r>
    </w:p>
    <w:p>
      <w:pPr>
        <w:pStyle w:val="FirstParagraph"/>
      </w:pPr>
      <w:r>
        <w:t xml:space="preserve">Primary descends beside the spine, Divergent ascends along it and Sinew ascends laterally toward the nape. Direction separates three related pathways.</w:t>
      </w:r>
    </w:p>
    <w:bookmarkEnd w:id="28"/>
    <w:bookmarkStart w:id="29" w:name="liver-family-genitals"/>
    <w:p>
      <w:pPr>
        <w:pStyle w:val="Heading4"/>
      </w:pPr>
      <w:r>
        <w:t xml:space="preserve">Liver family · Genitals</w:t>
      </w:r>
    </w:p>
    <w:p>
      <w:pPr>
        <w:pStyle w:val="FirstParagraph"/>
      </w:pPr>
      <w:r>
        <w:t xml:space="preserve">Primary encircles, Luo ascends and Sinew connects with other Sinew Channels. Compare verb, depth and route rather than the organ name alone.</w:t>
      </w:r>
    </w:p>
    <w:bookmarkEnd w:id="29"/>
    <w:p>
      <w:pPr>
        <w:pStyle w:val="BodyText"/>
      </w:pPr>
      <w:r>
        <w:rPr>
          <w:b/>
          <w:bCs/>
        </w:rPr>
        <w:t xml:space="preserve">Two-feature rule:</w:t>
      </w:r>
      <w:r>
        <w:t xml:space="preserve"> </w:t>
      </w:r>
      <w:r>
        <w:t xml:space="preserve">identify the channel system first, then confirm the organ family with at least two features such as origin, depth, direction, binding region or terminal distribution.</w:t>
      </w:r>
    </w:p>
    <w:bookmarkEnd w:id="30"/>
    <w:p>
      <w:pPr>
        <w:pStyle w:val="BodyText"/>
      </w:pPr>
      <w:r>
        <w:t xml:space="preserve">Objective 7</w:t>
      </w:r>
      <w:r>
        <w:t xml:space="preserve"> </w:t>
      </w:r>
      <w:r>
        <w:t xml:space="preserve">Distinguish visually similar pathways across different channel systems</w:t>
      </w:r>
    </w:p>
    <w:p>
      <w:pPr>
        <w:pStyle w:val="BodyText"/>
      </w:pPr>
      <w:r>
        <w:rPr>
          <w:b/>
          <w:bCs/>
        </w:rPr>
        <w:t xml:space="preserve">Integrated comparison:</w:t>
      </w:r>
      <w:r>
        <w:t xml:space="preserve"> </w:t>
      </w:r>
      <w:r>
        <w:t xml:space="preserve">eliminate look-alike answers by comparing depth, surface, direction and overall geometry before selecting a name.</w:t>
      </w:r>
    </w:p>
    <w:bookmarkStart w:id="31" w:name="dai-vs-lateral-routes"/>
    <w:p>
      <w:pPr>
        <w:pStyle w:val="Heading4"/>
      </w:pPr>
      <w:r>
        <w:t xml:space="preserve">Dai vs lateral routes</w:t>
      </w:r>
    </w:p>
    <w:p>
      <w:pPr>
        <w:pStyle w:val="FirstParagraph"/>
      </w:pPr>
      <w:r>
        <w:t xml:space="preserve">Dai Mai crosses the waist transversely; Gall Bladder Sinew and Yang Wei travel longitudinally along lateral regions.</w:t>
      </w:r>
    </w:p>
    <w:bookmarkEnd w:id="31"/>
    <w:bookmarkStart w:id="32" w:name="bladder-family"/>
    <w:p>
      <w:pPr>
        <w:pStyle w:val="Heading4"/>
      </w:pPr>
      <w:r>
        <w:t xml:space="preserve">Bladder family</w:t>
      </w:r>
    </w:p>
    <w:p>
      <w:pPr>
        <w:pStyle w:val="FirstParagraph"/>
      </w:pPr>
      <w:r>
        <w:t xml:space="preserve">Primary is the point-bearing posterior reference; Divergent is deep and paired; Luo begins at BL-58; Sinew forms a broad posterior chain.</w:t>
      </w:r>
    </w:p>
    <w:bookmarkEnd w:id="32"/>
    <w:bookmarkStart w:id="33" w:name="luo-vs-short-branch"/>
    <w:p>
      <w:pPr>
        <w:pStyle w:val="Heading4"/>
      </w:pPr>
      <w:r>
        <w:t xml:space="preserve">Luo vs short branch</w:t>
      </w:r>
    </w:p>
    <w:p>
      <w:pPr>
        <w:pStyle w:val="FirstParagraph"/>
      </w:pPr>
      <w:r>
        <w:t xml:space="preserve">A branch is not automatically Luo. Confirm a named Luo origin and characteristic paired connection or destination.</w:t>
      </w:r>
    </w:p>
    <w:bookmarkEnd w:id="33"/>
    <w:bookmarkStart w:id="34" w:name="sinew-vs-primary"/>
    <w:p>
      <w:pPr>
        <w:pStyle w:val="Heading4"/>
      </w:pPr>
      <w:r>
        <w:t xml:space="preserve">Sinew vs Primary</w:t>
      </w:r>
    </w:p>
    <w:p>
      <w:pPr>
        <w:pStyle w:val="FirstParagraph"/>
      </w:pPr>
      <w:r>
        <w:t xml:space="preserve">Broad binding regions support Sinew; a narrower ordered external route with internal branches supports Primary.</w:t>
      </w:r>
    </w:p>
    <w:bookmarkEnd w:id="34"/>
    <w:bookmarkStart w:id="38" w:name="X3d44f0f3763049087d77e9a706fa8bd037d98d9"/>
    <w:p>
      <w:pPr>
        <w:pStyle w:val="Heading3"/>
      </w:pPr>
      <w:r>
        <w:t xml:space="preserve">Use the anatomical area as a comparison laboratory</w:t>
      </w:r>
    </w:p>
    <w:bookmarkStart w:id="35" w:name="eye"/>
    <w:p>
      <w:pPr>
        <w:pStyle w:val="Heading4"/>
      </w:pPr>
      <w:r>
        <w:t xml:space="preserve">Eye</w:t>
      </w:r>
    </w:p>
    <w:p>
      <w:pPr>
        <w:pStyle w:val="FirstParagraph"/>
      </w:pPr>
      <w:r>
        <w:t xml:space="preserve">Bladder Sinew forms the upper muscular net; Stomach Sinew forms the lower net. Inner versus outer canthus further separates Bladder, Small Intestine, Sanjiao and Gall Bladder routes.</w:t>
      </w:r>
    </w:p>
    <w:bookmarkEnd w:id="35"/>
    <w:bookmarkStart w:id="36" w:name="knee"/>
    <w:p>
      <w:pPr>
        <w:pStyle w:val="Heading4"/>
      </w:pPr>
      <w:r>
        <w:t xml:space="preserve">Knee</w:t>
      </w:r>
    </w:p>
    <w:p>
      <w:pPr>
        <w:pStyle w:val="FirstParagraph"/>
      </w:pPr>
      <w:r>
        <w:t xml:space="preserve">Stomach marks the anterior aspect, Gall Bladder the lateral aspect, the Foot Yin channels the medial aspect, and Bladder–Kidney relationships the popliteal region.</w:t>
      </w:r>
    </w:p>
    <w:bookmarkEnd w:id="36"/>
    <w:bookmarkStart w:id="37" w:name="mouth"/>
    <w:p>
      <w:pPr>
        <w:pStyle w:val="Heading4"/>
      </w:pPr>
      <w:r>
        <w:t xml:space="preserve">Mouth</w:t>
      </w:r>
    </w:p>
    <w:p>
      <w:pPr>
        <w:pStyle w:val="FirstParagraph"/>
      </w:pPr>
      <w:r>
        <w:t xml:space="preserve">Stomach Divergent emerges, Stomach Sinew ascends and Stomach Primary passes the corner; Du and Ren wind around the mouth. The verb reveals the system.</w:t>
      </w:r>
    </w:p>
    <w:bookmarkEnd w:id="37"/>
    <w:p>
      <w:pPr>
        <w:pStyle w:val="BodyText"/>
      </w:pPr>
      <w:r>
        <w:rPr>
          <w:b/>
          <w:bCs/>
        </w:rPr>
        <w:t xml:space="preserve">Look-alike rule:</w:t>
      </w:r>
      <w:r>
        <w:t xml:space="preserve"> </w:t>
      </w:r>
      <w:r>
        <w:t xml:space="preserve">when two routes share a region, compare the action word—originates, enters, binds, circles, disperses, ascends or descends—before comparing the organ name.</w:t>
      </w:r>
    </w:p>
    <w:bookmarkEnd w:id="38"/>
    <w:p>
      <w:pPr>
        <w:pStyle w:val="BodyText"/>
      </w:pPr>
      <w:r>
        <w:t xml:space="preserve">Objective 8</w:t>
      </w:r>
      <w:r>
        <w:t xml:space="preserve"> </w:t>
      </w:r>
      <w:r>
        <w:t xml:space="preserve">Justify a mixed pathway identification using system evidence and two landmarks</w:t>
      </w:r>
    </w:p>
    <w:p>
      <w:pPr>
        <w:pStyle w:val="BodyText"/>
      </w:pPr>
      <w:r>
        <w:rPr>
          <w:b/>
          <w:bCs/>
        </w:rPr>
        <w:t xml:space="preserve">Integrated application:</w:t>
      </w:r>
      <w:r>
        <w:t xml:space="preserve"> </w:t>
      </w:r>
      <w:r>
        <w:t xml:space="preserve">state the answer, name the system-defining evidence and cite two pathway landmarks while rejecting the closest alternative.</w:t>
      </w:r>
    </w:p>
    <w:p>
      <w:pPr>
        <w:pStyle w:val="BodyText"/>
      </w:pPr>
      <w:r>
        <w:t xml:space="preserve">This objective moves beyond simple picture recognition. The learner must build a short anatomical argument: first identify how the pathway is organized, then connect that organization to a channel family, and finally prove the identification with two independent landmarks. A correct answer therefore includes the</w:t>
      </w:r>
      <w:r>
        <w:t xml:space="preserve"> </w:t>
      </w:r>
      <w:r>
        <w:rPr>
          <w:b/>
          <w:bCs/>
        </w:rPr>
        <w:t xml:space="preserve">channel name</w:t>
      </w:r>
      <w:r>
        <w:t xml:space="preserve">, the</w:t>
      </w:r>
      <w:r>
        <w:t xml:space="preserve"> </w:t>
      </w:r>
      <w:r>
        <w:rPr>
          <w:b/>
          <w:bCs/>
        </w:rPr>
        <w:t xml:space="preserve">channel system</w:t>
      </w:r>
      <w:r>
        <w:t xml:space="preserve"> </w:t>
      </w:r>
      <w:r>
        <w:t xml:space="preserve">and the</w:t>
      </w:r>
      <w:r>
        <w:t xml:space="preserve"> </w:t>
      </w:r>
      <w:r>
        <w:rPr>
          <w:b/>
          <w:bCs/>
        </w:rPr>
        <w:t xml:space="preserve">evidence that separates it from a plausible look-alike</w:t>
      </w:r>
      <w:r>
        <w:t xml:space="preserve">.</w:t>
      </w:r>
    </w:p>
    <w:bookmarkStart w:id="44" w:name="X08a64f4428b8aa71277dd088658213be4e3bacf"/>
    <w:p>
      <w:pPr>
        <w:pStyle w:val="Heading3"/>
      </w:pPr>
      <w:r>
        <w:t xml:space="preserve">Recognize the system before naming the channel</w:t>
      </w:r>
    </w:p>
    <w:bookmarkStart w:id="39" w:name="primary-channel"/>
    <w:p>
      <w:pPr>
        <w:pStyle w:val="Heading4"/>
      </w:pPr>
      <w:r>
        <w:t xml:space="preserve">Primary Channel</w:t>
      </w:r>
    </w:p>
    <w:p>
      <w:pPr>
        <w:pStyle w:val="FirstParagraph"/>
      </w:pPr>
      <w:r>
        <w:t xml:space="preserve">Look for a continuous external route, an ordered limb position and internal connections with its associated zangfu.</w:t>
      </w:r>
    </w:p>
    <w:bookmarkEnd w:id="39"/>
    <w:bookmarkStart w:id="40" w:name="divergent-channel"/>
    <w:p>
      <w:pPr>
        <w:pStyle w:val="Heading4"/>
      </w:pPr>
      <w:r>
        <w:t xml:space="preserve">Divergent Channel</w:t>
      </w:r>
    </w:p>
    <w:p>
      <w:pPr>
        <w:pStyle w:val="FirstParagraph"/>
      </w:pPr>
      <w:r>
        <w:t xml:space="preserve">Look for separation from a Primary Channel, deep internal travel, zangfu relationships and reunion near the neck, face or head.</w:t>
      </w:r>
    </w:p>
    <w:bookmarkEnd w:id="40"/>
    <w:bookmarkStart w:id="41" w:name="luo-connecting-channel"/>
    <w:p>
      <w:pPr>
        <w:pStyle w:val="Heading4"/>
      </w:pPr>
      <w:r>
        <w:t xml:space="preserve">Luo-Connecting Channel</w:t>
      </w:r>
    </w:p>
    <w:p>
      <w:pPr>
        <w:pStyle w:val="FirstParagraph"/>
      </w:pPr>
      <w:r>
        <w:t xml:space="preserve">Look for a shorter branch beginning at a Luo point and connecting with the paired channel or dispersing toward a characteristic destination.</w:t>
      </w:r>
    </w:p>
    <w:bookmarkEnd w:id="41"/>
    <w:bookmarkStart w:id="42" w:name="sinew-channel"/>
    <w:p>
      <w:pPr>
        <w:pStyle w:val="Heading4"/>
      </w:pPr>
      <w:r>
        <w:t xml:space="preserve">Sinew Channel</w:t>
      </w:r>
    </w:p>
    <w:p>
      <w:pPr>
        <w:pStyle w:val="FirstParagraph"/>
      </w:pPr>
      <w:r>
        <w:t xml:space="preserve">Look for a superficial muscular route that begins distally, binds at joints and does not enter the zangfu organs.</w:t>
      </w:r>
    </w:p>
    <w:bookmarkEnd w:id="42"/>
    <w:bookmarkStart w:id="43" w:name="extraordinary-vessel"/>
    <w:p>
      <w:pPr>
        <w:pStyle w:val="Heading4"/>
      </w:pPr>
      <w:r>
        <w:t xml:space="preserve">Extraordinary Vessel</w:t>
      </w:r>
    </w:p>
    <w:p>
      <w:pPr>
        <w:pStyle w:val="FirstParagraph"/>
      </w:pPr>
      <w:r>
        <w:t xml:space="preserve">Look for a distinctive central, transverse, medial, lateral, motility or linking pattern that organizes several channel regions.</w:t>
      </w:r>
    </w:p>
    <w:bookmarkEnd w:id="43"/>
    <w:bookmarkEnd w:id="44"/>
    <w:bookmarkStart w:id="45" w:name="X1ab21bac39dfbce665a1caca9a22a9d09c9bc9c"/>
    <w:p>
      <w:pPr>
        <w:pStyle w:val="Heading3"/>
      </w:pPr>
      <w:r>
        <w:t xml:space="preserve">Build the identification from independent evidence</w:t>
      </w:r>
    </w:p>
    <w:p>
      <w:pPr>
        <w:pStyle w:val="Compact"/>
        <w:numPr>
          <w:ilvl w:val="0"/>
          <w:numId w:val="1001"/>
        </w:numPr>
      </w:pPr>
      <w:r>
        <w:rPr>
          <w:b/>
          <w:bCs/>
        </w:rPr>
        <w:t xml:space="preserve">Locate.</w:t>
      </w:r>
      <w:r>
        <w:t xml:space="preserve">Name the anatomical area and the exact surface, depth or landmark shown.</w:t>
      </w:r>
    </w:p>
    <w:p>
      <w:pPr>
        <w:pStyle w:val="Compact"/>
        <w:numPr>
          <w:ilvl w:val="0"/>
          <w:numId w:val="1001"/>
        </w:numPr>
      </w:pPr>
      <w:r>
        <w:rPr>
          <w:b/>
          <w:bCs/>
        </w:rPr>
        <w:t xml:space="preserve">Classify.</w:t>
      </w:r>
      <w:r>
        <w:t xml:space="preserve">Name the system from its action and organization before naming the organ.</w:t>
      </w:r>
    </w:p>
    <w:p>
      <w:pPr>
        <w:pStyle w:val="Compact"/>
        <w:numPr>
          <w:ilvl w:val="0"/>
          <w:numId w:val="1001"/>
        </w:numPr>
      </w:pPr>
      <w:r>
        <w:rPr>
          <w:b/>
          <w:bCs/>
        </w:rPr>
        <w:t xml:space="preserve">Confirm.</w:t>
      </w:r>
      <w:r>
        <w:t xml:space="preserve">Use two independent clues: origin, limb surface, direction, binding site, internal organ connection, convergence or terminal region.</w:t>
      </w:r>
    </w:p>
    <w:p>
      <w:pPr>
        <w:pStyle w:val="Compact"/>
        <w:numPr>
          <w:ilvl w:val="0"/>
          <w:numId w:val="1001"/>
        </w:numPr>
      </w:pPr>
      <w:r>
        <w:rPr>
          <w:b/>
          <w:bCs/>
        </w:rPr>
        <w:t xml:space="preserve">Justify.</w:t>
      </w:r>
      <w:r>
        <w:t xml:space="preserve">State why the nearest pathway sharing that area does not fit.</w:t>
      </w:r>
    </w:p>
    <w:bookmarkEnd w:id="45"/>
    <w:bookmarkStart w:id="46" w:name="example-heel"/>
    <w:p>
      <w:pPr>
        <w:pStyle w:val="Heading3"/>
      </w:pPr>
      <w:r>
        <w:t xml:space="preserve">Example · Heel</w:t>
      </w:r>
    </w:p>
    <w:p>
      <w:pPr>
        <w:pStyle w:val="FirstParagraph"/>
      </w:pPr>
      <w:r>
        <w:t xml:space="preserve">“This is Yang Qiao because it originates at the lateral heel at BL-62 and ascends laterally. It is not Kidney Luo, which encircles the heel.”</w:t>
      </w:r>
    </w:p>
    <w:bookmarkEnd w:id="46"/>
    <w:bookmarkStart w:id="47" w:name="example-eye"/>
    <w:p>
      <w:pPr>
        <w:pStyle w:val="Heading3"/>
      </w:pPr>
      <w:r>
        <w:t xml:space="preserve">Example · Eye</w:t>
      </w:r>
    </w:p>
    <w:p>
      <w:pPr>
        <w:pStyle w:val="FirstParagraph"/>
      </w:pPr>
      <w:r>
        <w:t xml:space="preserve">“This is Bladder Sinew because it circles the eye and forms the upper net. It is not Stomach Sinew, which forms the lower net.”</w:t>
      </w:r>
    </w:p>
    <w:bookmarkEnd w:id="47"/>
    <w:bookmarkStart w:id="48" w:name="example-small-intestine-family"/>
    <w:p>
      <w:pPr>
        <w:pStyle w:val="Heading3"/>
      </w:pPr>
      <w:r>
        <w:t xml:space="preserve">Example · Small Intestine family</w:t>
      </w:r>
    </w:p>
    <w:p>
      <w:pPr>
        <w:pStyle w:val="FirstParagraph"/>
      </w:pPr>
      <w:r>
        <w:t xml:space="preserve">“This is the Small Intestine Divergent Channel because it follows a deep divergent organization and travels internally toward the Heart, Stomach and Small Intestine. These internal organ relationships distinguish it from the Small Intestine Sinew Channel, which remains superficial and binds at muscles and joints.”</w:t>
      </w:r>
    </w:p>
    <w:bookmarkEnd w:id="48"/>
    <w:bookmarkStart w:id="49" w:name="why-two-landmarks"/>
    <w:p>
      <w:pPr>
        <w:pStyle w:val="Heading3"/>
      </w:pPr>
      <w:r>
        <w:t xml:space="preserve">Why two landmarks?</w:t>
      </w:r>
    </w:p>
    <w:p>
      <w:pPr>
        <w:pStyle w:val="FirstParagraph"/>
      </w:pPr>
      <w:r>
        <w:t xml:space="preserve">One shared region may fit several pathways. Two independent landmarks reduce guessing and demonstrate that the student can reconstruct the route rather than recognize a single visual feature.</w:t>
      </w:r>
    </w:p>
    <w:bookmarkEnd w:id="49"/>
    <w:p>
      <w:pPr>
        <w:pStyle w:val="BodyText"/>
      </w:pPr>
      <w:r>
        <w:rPr>
          <w:b/>
          <w:bCs/>
        </w:rPr>
        <w:t xml:space="preserve">Required evidence statement:</w:t>
      </w:r>
      <w:r>
        <w:t xml:space="preserve"> </w:t>
      </w:r>
      <w:r>
        <w:t xml:space="preserve">“This is the ___ [channel system] because it shows ___ [landmark or relationship] and ___ [second independent landmark]. It is not ___ [closest alternative] because ___ [contradictory feature].”</w:t>
      </w:r>
    </w:p>
    <w:bookmarkEnd w:id="50"/>
    <w:sectPr>
      <w:type w:val="nextPage"/>
      <w:pgSz w:h="16838" w:w="11906"/>
      <w:pgMar w:bottom="936" w:footer="0" w:gutter="0" w:header="0" w:left="936" w:right="936" w:top="936"/>
      <w:pgNumType w:fmt="decimal"/>
      <w:formProt w:val="false"/>
      <w:textDirection w:val="lrTb"/>
      <w:docGrid w:charSpace="38911" w:linePitch="6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1"/>
      <w:lvlJc w:val="start"/>
      <w:pPr>
        <w:tabs>
          <w:tab w:pos="0" w:val="num"/>
        </w:tabs>
        <w:ind w:hanging="0" w:start="0"/>
      </w:pPr>
    </w:lvl>
    <w:lvl w:ilvl="1">
      <w:start w:val="1"/>
      <w:numFmt w:val="none"/>
      <w:suff w:val="nothing"/>
      <w:lvlText w:val="%2"/>
      <w:lvlJc w:val="start"/>
      <w:pPr>
        <w:tabs>
          <w:tab w:pos="0" w:val="num"/>
        </w:tabs>
        <w:ind w:hanging="0" w:start="0"/>
      </w:pPr>
    </w:lvl>
    <w:lvl w:ilvl="2">
      <w:start w:val="1"/>
      <w:numFmt w:val="none"/>
      <w:suff w:val="nothing"/>
      <w:lvlText w:val="%3"/>
      <w:lvlJc w:val="start"/>
      <w:pPr>
        <w:tabs>
          <w:tab w:pos="0" w:val="num"/>
        </w:tabs>
        <w:ind w:hanging="0" w:start="0"/>
      </w:pPr>
    </w:lvl>
    <w:lvl w:ilvl="3">
      <w:start w:val="1"/>
      <w:numFmt w:val="none"/>
      <w:suff w:val="nothing"/>
      <w:lvlText w:val="%4"/>
      <w:lvlJc w:val="start"/>
      <w:pPr>
        <w:tabs>
          <w:tab w:pos="0" w:val="num"/>
        </w:tabs>
        <w:ind w:hanging="0" w:start="0"/>
      </w:pPr>
    </w:lvl>
    <w:lvl w:ilvl="4">
      <w:start w:val="1"/>
      <w:numFmt w:val="none"/>
      <w:suff w:val="nothing"/>
      <w:lvlText w:val="%5"/>
      <w:lvlJc w:val="start"/>
      <w:pPr>
        <w:tabs>
          <w:tab w:pos="0" w:val="num"/>
        </w:tabs>
        <w:ind w:hanging="0" w:start="0"/>
      </w:pPr>
    </w:lvl>
    <w:lvl w:ilvl="5">
      <w:start w:val="1"/>
      <w:numFmt w:val="none"/>
      <w:suff w:val="nothing"/>
      <w:lvlText w:val="%6"/>
      <w:lvlJc w:val="start"/>
      <w:pPr>
        <w:tabs>
          <w:tab w:pos="0" w:val="num"/>
        </w:tabs>
        <w:ind w:hanging="0" w:start="0"/>
      </w:pPr>
    </w:lvl>
    <w:lvl w:ilvl="6">
      <w:start w:val="1"/>
      <w:numFmt w:val="none"/>
      <w:suff w:val="nothing"/>
      <w:lvlText w:val="%7"/>
      <w:lvlJc w:val="start"/>
      <w:pPr>
        <w:tabs>
          <w:tab w:pos="0" w:val="num"/>
        </w:tabs>
        <w:ind w:hanging="0" w:start="0"/>
      </w:pPr>
    </w:lvl>
    <w:lvl w:ilvl="7">
      <w:start w:val="1"/>
      <w:numFmt w:val="none"/>
      <w:suff w:val="nothing"/>
      <w:lvlText w:val="%8"/>
      <w:lvlJc w:val="start"/>
      <w:pPr>
        <w:tabs>
          <w:tab w:pos="0" w:val="num"/>
        </w:tabs>
        <w:ind w:hanging="0" w:start="0"/>
      </w:pPr>
    </w:lvl>
    <w:lvl w:ilvl="8">
      <w:start w:val="1"/>
      <w:numFmt w:val="none"/>
      <w:suff w:val="nothing"/>
      <w:lvlText w:val="%9"/>
      <w:lvlJc w:val="start"/>
      <w:pPr>
        <w:tabs>
          <w:tab w:pos="0" w:val="num"/>
        </w:tabs>
        <w:ind w:hanging="0" w:start="0"/>
      </w:pPr>
    </w:lvl>
  </w:abstractNum>
  <w:abstractNum w:abstractNumId="2">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1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Noto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val="false"/>
      <w:kinsoku w:val="true"/>
      <w:overflowPunct w:val="true"/>
      <w:autoSpaceDE w:val="true"/>
      <w:bidi w:val="0"/>
      <w:spacing w:line="348" w:lineRule="auto"/>
    </w:pPr>
    <w:rPr>
      <w:rFonts w:ascii="Arial;sans-serif" w:cs="Arial;sans-serif" w:eastAsia="Arial;sans-serif" w:hAnsi="Arial;sans-serif"/>
      <w:color w:val="173247"/>
      <w:sz w:val="21"/>
      <w:szCs w:val="21"/>
      <w:lang w:bidi="hi-IN" w:eastAsia="zh-CN" w:val="en-US"/>
    </w:rPr>
  </w:style>
  <w:style w:styleId="Heading1" w:type="paragraph">
    <w:name w:val="heading 1"/>
    <w:basedOn w:val="Heading"/>
    <w:next w:val="BodyText"/>
    <w:qFormat/>
    <w:pPr>
      <w:keepNext w:val="true"/>
      <w:spacing w:after="80" w:before="200"/>
      <w:ind w:end="200" w:start="200"/>
    </w:pPr>
    <w:rPr>
      <w:b/>
      <w:bCs/>
      <w:color w:val="0A7474"/>
      <w:sz w:val="52"/>
      <w:szCs w:val="52"/>
    </w:rPr>
  </w:style>
  <w:style w:styleId="Heading2" w:type="paragraph">
    <w:name w:val="heading 2"/>
    <w:basedOn w:val="Heading"/>
    <w:next w:val="BodyText"/>
    <w:qFormat/>
    <w:pPr>
      <w:keepNext w:val="true"/>
      <w:numPr>
        <w:ilvl w:val="0"/>
        <w:numId w:val="0"/>
      </w:numPr>
      <w:pBdr>
        <w:bottom w:color="EADFF3" w:space="5" w:sz="12" w:val="single"/>
      </w:pBdr>
      <w:spacing w:after="120" w:before="440"/>
      <w:outlineLvl w:val="1"/>
    </w:pPr>
    <w:rPr>
      <w:rFonts w:ascii="Liberation Serif" w:cs="Noto Sans" w:eastAsia="Noto Serif CJK SC" w:hAnsi="Liberation Serif"/>
      <w:b/>
      <w:bCs/>
      <w:color w:val="68408F"/>
      <w:sz w:val="34"/>
      <w:szCs w:val="34"/>
    </w:rPr>
  </w:style>
  <w:style w:styleId="Heading3" w:type="paragraph">
    <w:name w:val="heading 3"/>
    <w:basedOn w:val="Heading"/>
    <w:next w:val="BodyText"/>
    <w:qFormat/>
    <w:pPr>
      <w:keepNext w:val="true"/>
      <w:numPr>
        <w:ilvl w:val="0"/>
        <w:numId w:val="0"/>
      </w:numPr>
      <w:spacing w:after="80" w:before="280"/>
      <w:ind w:end="280" w:start="280"/>
      <w:outlineLvl w:val="2"/>
    </w:pPr>
    <w:rPr>
      <w:rFonts w:ascii="Liberation Serif" w:cs="Noto Sans" w:eastAsia="Noto Serif CJK SC" w:hAnsi="Liberation Serif"/>
      <w:b/>
      <w:bCs/>
      <w:color w:val="0A7474"/>
      <w:sz w:val="24"/>
      <w:szCs w:val="24"/>
    </w:rPr>
  </w:style>
  <w:style w:styleId="EndnoteReference" w:type="character">
    <w:name w:val="endnote reference"/>
    <w:rPr>
      <w:vertAlign w:val="superscript"/>
    </w:rPr>
  </w:style>
  <w:style w:styleId="FootnoteReference" w:type="character">
    <w:name w:val="footnote reference"/>
    <w:rPr>
      <w:vertAlign w:val="superscript"/>
    </w:rPr>
  </w:style>
  <w:style w:styleId="EndnoteCharacters" w:type="character">
    <w:name w:val="Endnote Characters"/>
    <w:qFormat/>
    <w:rPr/>
  </w:style>
  <w:style w:styleId="FootnoteCharacters" w:type="character">
    <w:name w:val="Footnote Characters"/>
    <w:qFormat/>
    <w:rPr/>
  </w:style>
  <w:style w:styleId="Hyperlink" w:type="character">
    <w:name w:val="Hyperlink"/>
    <w:rPr>
      <w:color w:val="000080"/>
      <w:u w:val="single"/>
    </w:rPr>
  </w:style>
  <w:style w:styleId="Strong" w:type="character">
    <w:name w:val="Strong"/>
    <w:qFormat/>
    <w:rPr>
      <w:b/>
      <w:bCs/>
    </w:rPr>
  </w:style>
  <w:style w:styleId="NumberingSymbols" w:type="character">
    <w:name w:val="Numbering Symbols"/>
    <w:qFormat/>
    <w:rPr/>
  </w:style>
  <w:style w:styleId="Bullets" w:type="character">
    <w:name w:val="Bullets"/>
    <w:qFormat/>
    <w:rPr>
      <w:rFonts w:ascii="OpenSymbol" w:cs="OpenSymbol" w:eastAsia="OpenSymbol" w:hAnsi="OpenSymbol"/>
    </w:rPr>
  </w:style>
  <w:style w:styleId="Emphasis" w:type="character">
    <w:name w:val="Emphasis"/>
    <w:qFormat/>
    <w:rPr>
      <w:i/>
      <w:iCs/>
    </w:rPr>
  </w:style>
  <w:style w:styleId="HorizontalLine" w:type="paragraph">
    <w:name w:val="Horizontal Line"/>
    <w:basedOn w:val="Normal"/>
    <w:next w:val="BodyText"/>
    <w:qFormat/>
    <w:pPr>
      <w:pBdr>
        <w:bottom w:color="808080" w:space="0" w:sz="2" w:val="double"/>
      </w:pBdr>
      <w:spacing w:after="283" w:before="0"/>
    </w:pPr>
    <w:rPr>
      <w:sz w:val="12"/>
    </w:rPr>
  </w:style>
  <w:style w:styleId="BodyText" w:type="paragraph">
    <w:name w:val="Body Text"/>
    <w:basedOn w:val="Normal"/>
    <w:pPr>
      <w:spacing w:after="160" w:before="100"/>
      <w:ind w:end="100" w:start="100"/>
    </w:pPr>
    <w:rPr/>
  </w:style>
  <w:style w:styleId="EnvelopeReturn" w:type="paragraph">
    <w:name w:val="envelope return"/>
    <w:basedOn w:val="Normal"/>
    <w:pPr/>
    <w:rPr>
      <w:i/>
    </w:rPr>
  </w:style>
  <w:style w:styleId="TableContents" w:type="paragraph">
    <w:name w:val="Table Contents"/>
    <w:basedOn w:val="BodyText"/>
    <w:qFormat/>
    <w:pPr/>
    <w:rPr/>
  </w:style>
  <w:style w:styleId="Heading" w:type="paragraph">
    <w:name w:val="Heading"/>
    <w:basedOn w:val="Normal"/>
    <w:next w:val="BodyText"/>
    <w:qFormat/>
    <w:pPr>
      <w:keepNext w:val="true"/>
      <w:spacing w:after="283" w:before="240"/>
    </w:pPr>
    <w:rPr>
      <w:rFonts w:ascii="Liberation Sans" w:hAnsi="Liberation Sans"/>
      <w:sz w:val="28"/>
      <w:szCs w:val="28"/>
    </w:rPr>
  </w:style>
  <w:style w:styleId="Index" w:type="paragraph">
    <w:name w:val="Index"/>
    <w:basedOn w:val="Normal"/>
    <w:qFormat/>
    <w:pPr>
      <w:suppressLineNumbers/>
    </w:pPr>
    <w:rPr>
      <w:rFonts w:cs="Noto Sans"/>
    </w:rPr>
  </w:style>
  <w:style w:styleId="Caption" w:type="paragraph">
    <w:name w:val="caption"/>
    <w:basedOn w:val="Normal"/>
    <w:qFormat/>
    <w:pPr>
      <w:suppressLineNumbers/>
      <w:spacing w:after="120" w:before="120"/>
    </w:pPr>
    <w:rPr>
      <w:rFonts w:cs="Noto Sans"/>
      <w:i/>
      <w:iCs/>
      <w:sz w:val="24"/>
      <w:szCs w:val="24"/>
    </w:rPr>
  </w:style>
  <w:style w:styleId="List" w:type="paragraph">
    <w:name w:val="List"/>
    <w:basedOn w:val="BodyText"/>
    <w:pPr/>
    <w:rPr>
      <w:rFonts w:cs="Noto Sans"/>
    </w:rPr>
  </w:style>
  <w:style w:styleId="BodyTextsmall" w:type="paragraph">
    <w:name w:val="Body Text.small"/>
    <w:basedOn w:val="BodyText"/>
    <w:qFormat/>
    <w:pPr/>
    <w:rPr>
      <w:color w:val="5B6D78"/>
      <w:sz w:val="18"/>
      <w:szCs w:val="18"/>
    </w:rPr>
  </w:style>
  <w:style w:styleId="TableHeading" w:type="paragraph">
    <w:name w:val="Table Heading"/>
    <w:basedOn w:val="TableContents"/>
    <w:qFormat/>
    <w:pPr>
      <w:suppressLineNumbers/>
      <w:jc w:val="start"/>
    </w:pPr>
    <w:rPr>
      <w:b/>
      <w:bCs/>
      <w:color w:val="FFFFFF"/>
    </w:rPr>
  </w:style>
  <w:style w:styleId="Heading2page-break" w:type="paragraph">
    <w:name w:val="Heading 2.page-break"/>
    <w:basedOn w:val="Heading2"/>
    <w:qFormat/>
    <w:pPr>
      <w:pageBreakBefore/>
    </w:pPr>
    <w:rPr/>
  </w:style>
  <w:style w:styleId="BodyTextfooter-note" w:type="paragraph">
    <w:name w:val="Body Text.footer-note"/>
    <w:basedOn w:val="BodyText"/>
    <w:qFormat/>
    <w:pPr>
      <w:spacing w:after="160" w:before="400"/>
      <w:jc w:val="center"/>
    </w:pPr>
    <w:rPr>
      <w:color w:val="687984"/>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10</Pages>
  <Words>5828</Words>
  <Characters>31684</Characters>
  <CharactersWithSpaces>36214</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Pathways — Part 2: Objectives 5–8</dc:title>
  <dc:creator/>
  <cp:keywords/>
  <dcterms:created xsi:type="dcterms:W3CDTF">2026-10-23T16:41:45Z</dcterms:created>
  <dcterms:modified xsi:type="dcterms:W3CDTF">2026-10-23T16:41:45Z</dcterms:modified>
</cp:coreProperties>
</file>

<file path=docProps/custom.xml><?xml version="1.0" encoding="utf-8"?>
<Properties xmlns="http://schemas.openxmlformats.org/officeDocument/2006/custom-properties" xmlns:vt="http://schemas.openxmlformats.org/officeDocument/2006/docPropsVTypes"/>
</file>