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Channel</w:t>
      </w:r>
      <w:r>
        <w:t xml:space="preserve"> </w:t>
      </w:r>
      <w:r>
        <w:t xml:space="preserve">Pathways</w:t>
      </w:r>
      <w:r>
        <w:t xml:space="preserve"> </w:t>
      </w:r>
      <w:r>
        <w:t xml:space="preserve">—</w:t>
      </w:r>
      <w:r>
        <w:t xml:space="preserve"> </w:t>
      </w:r>
      <w:r>
        <w:t xml:space="preserve">Part</w:t>
      </w:r>
      <w:r>
        <w:t xml:space="preserve"> </w:t>
      </w:r>
      <w:r>
        <w:t xml:space="preserve">5:</w:t>
      </w:r>
      <w:r>
        <w:t xml:space="preserve"> </w:t>
      </w:r>
      <w:r>
        <w:t xml:space="preserve">Exams,</w:t>
      </w:r>
      <w:r>
        <w:t xml:space="preserve"> </w:t>
      </w:r>
      <w:r>
        <w:t xml:space="preserve">Evaluation</w:t>
      </w:r>
      <w:r>
        <w:t xml:space="preserve"> </w:t>
      </w:r>
      <w:r>
        <w:t xml:space="preserve">and</w:t>
      </w:r>
      <w:r>
        <w:t xml:space="preserve"> </w:t>
      </w:r>
      <w:r>
        <w:t xml:space="preserve">Bibliography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6" w:name="Xf19bd945e00015ce5ee204e009a548c2685d946"/>
    <w:p>
      <w:pPr>
        <w:pStyle w:val="Heading1"/>
      </w:pPr>
      <w:r>
        <w:t xml:space="preserve">Channel Pathways — Part 5: Exams, Evaluation and Bibliography</w:t>
      </w:r>
    </w:p>
    <w:p>
      <w:pPr>
        <w:pStyle w:val="FirstParagraph"/>
      </w:pPr>
      <w:r>
        <w:t xml:space="preserve">Acupuncture &amp; Point Location — Channel Pathway Identification</w:t>
      </w:r>
    </w:p>
    <w:p>
      <w:pPr>
        <w:pStyle w:val="BodyText"/>
      </w:pPr>
      <w:r>
        <w:t xml:space="preserve">Self-Test — Practice without score</w:t>
      </w:r>
    </w:p>
    <w:p>
      <w:pPr>
        <w:pStyle w:val="BodyText"/>
      </w:pPr>
      <w:r>
        <w:t xml:space="preserve">PRACTICE WITHOUT SCORE</w:t>
      </w:r>
    </w:p>
    <w:bookmarkStart w:id="20" w:name="identify-the-pathway"/>
    <w:p>
      <w:pPr>
        <w:pStyle w:val="Heading2"/>
      </w:pPr>
      <w:r>
        <w:t xml:space="preserve">Identify the pathway</w:t>
      </w:r>
    </w:p>
    <w:bookmarkEnd w:id="20"/>
    <w:p>
      <w:pPr>
        <w:pStyle w:val="FirstParagraph"/>
      </w:pPr>
      <w:r>
        <w:t xml:space="preserve">Study the entire course before revealing the answer. Your result is not stored.</w:t>
      </w:r>
    </w:p>
    <w:p>
      <w:pPr>
        <w:pStyle w:val="BodyText"/>
      </w:pPr>
      <w:r>
        <w:t xml:space="preserve">Practice set</w:t>
      </w:r>
      <w:r>
        <w:t xml:space="preserve"> </w:t>
      </w:r>
      <w:r>
        <w:t xml:space="preserve">All</w:t>
      </w:r>
      <w:r>
        <w:t xml:space="preserve"> </w:t>
      </w:r>
      <w:r>
        <w:t xml:space="preserve">Primary</w:t>
      </w:r>
      <w:r>
        <w:t xml:space="preserve"> </w:t>
      </w:r>
      <w:r>
        <w:t xml:space="preserve">Divergent</w:t>
      </w:r>
      <w:r>
        <w:t xml:space="preserve"> </w:t>
      </w:r>
      <w:r>
        <w:t xml:space="preserve">Luo-connecting</w:t>
      </w:r>
      <w:r>
        <w:t xml:space="preserve"> </w:t>
      </w:r>
      <w:r>
        <w:t xml:space="preserve">Special Luo</w:t>
      </w:r>
      <w:r>
        <w:t xml:space="preserve"> </w:t>
      </w:r>
      <w:r>
        <w:t xml:space="preserve">Sinew</w:t>
      </w:r>
      <w:r>
        <w:t xml:space="preserve"> </w:t>
      </w:r>
      <w:r>
        <w:t xml:space="preserve">Extraordinary</w:t>
      </w:r>
    </w:p>
    <w:p>
      <w:pPr>
        <w:pStyle w:val="BodyText"/>
      </w:pPr>
      <w:r>
        <w:t xml:space="preserve">New image</w:t>
      </w:r>
    </w:p>
    <w:p>
      <w:pPr>
        <w:pStyle w:val="BodyText"/>
      </w:pPr>
      <w:r>
        <w:t xml:space="preserve">What channel or vessel is shown?</w:t>
      </w:r>
    </w:p>
    <w:p>
      <w:pPr>
        <w:pStyle w:val="BodyText"/>
      </w:pPr>
      <w:r>
        <w:t xml:space="preserve">Reveal identity</w:t>
      </w:r>
    </w:p>
    <w:bookmarkStart w:id="23" w:name="answer-panel"/>
    <w:p>
      <w:pPr>
        <w:pStyle w:val="BodyText"/>
      </w:pPr>
      <w:bookmarkStart w:id="21" w:name="answer-family"/>
      <w:bookmarkEnd w:id="21"/>
    </w:p>
    <w:bookmarkStart w:id="22" w:name="answer-name"/>
    <w:p>
      <w:pPr>
        <w:pStyle w:val="Heading3"/>
      </w:pPr>
    </w:p>
    <w:bookmarkEnd w:id="22"/>
    <w:bookmarkEnd w:id="23"/>
    <w:p>
      <w:pPr>
        <w:pStyle w:val="FirstParagraph"/>
      </w:pPr>
      <w:r>
        <w:t xml:space="preserve">Channel Pathways Exams</w:t>
      </w:r>
    </w:p>
    <w:p>
      <w:pPr>
        <w:pStyle w:val="BodyText"/>
      </w:pPr>
      <w:r>
        <w:t xml:space="preserve">CURRENT ASSESSMENTS</w:t>
      </w:r>
    </w:p>
    <w:bookmarkStart w:id="36" w:name="scored-activities-in-moodle"/>
    <w:p>
      <w:pPr>
        <w:pStyle w:val="Heading2"/>
      </w:pPr>
      <w:r>
        <w:t xml:space="preserve">Scored activities in Moodle</w:t>
      </w:r>
    </w:p>
    <w:p>
      <w:pPr>
        <w:pStyle w:val="FirstParagraph"/>
      </w:pPr>
      <w:r>
        <w:t xml:space="preserve">Open the assigned 10-question practice exam for each learning area. Every button opens the corresponding Moodle activity in a new tab.</w:t>
      </w:r>
    </w:p>
    <w:p>
      <w:pPr>
        <w:pStyle w:val="BodyText"/>
      </w:pPr>
      <w:hyperlink r:id="rId24">
        <w:r>
          <w:rPr>
            <w:rStyle w:val="Hyperlink"/>
          </w:rPr>
          <w:t xml:space="preserve">Primary Channels Exam (10 Questions)</w:t>
        </w:r>
        <w:r>
          <w:rPr>
            <w:rStyle w:val="Hyperlink"/>
          </w:rPr>
          <w:t xml:space="preserve">Twelve Primary Channel pathways</w:t>
        </w:r>
        <w:r>
          <w:rPr>
            <w:rStyle w:val="Hyperlink"/>
            <w:b/>
            <w:bCs/>
          </w:rPr>
          <w:t xml:space="preserve">Open Exam →</w:t>
        </w:r>
      </w:hyperlink>
      <w:r>
        <w:t xml:space="preserve"> </w:t>
      </w:r>
      <w:hyperlink r:id="rId25">
        <w:r>
          <w:rPr>
            <w:rStyle w:val="Hyperlink"/>
          </w:rPr>
          <w:t xml:space="preserve">Divergent Channels Exam (10 Questions)</w:t>
        </w:r>
        <w:r>
          <w:rPr>
            <w:rStyle w:val="Hyperlink"/>
          </w:rPr>
          <w:t xml:space="preserve">Twelve Divergent Channel pathways</w:t>
        </w:r>
        <w:r>
          <w:rPr>
            <w:rStyle w:val="Hyperlink"/>
            <w:b/>
            <w:bCs/>
          </w:rPr>
          <w:t xml:space="preserve">Open Exam →</w:t>
        </w:r>
      </w:hyperlink>
      <w:r>
        <w:t xml:space="preserve"> </w:t>
      </w:r>
      <w:hyperlink r:id="rId26">
        <w:r>
          <w:rPr>
            <w:rStyle w:val="Hyperlink"/>
          </w:rPr>
          <w:t xml:space="preserve">Luo Connecting Channels Exam (10 Questions)</w:t>
        </w:r>
        <w:r>
          <w:rPr>
            <w:rStyle w:val="Hyperlink"/>
          </w:rPr>
          <w:t xml:space="preserve">Luo origins, connections and destinations</w:t>
        </w:r>
        <w:r>
          <w:rPr>
            <w:rStyle w:val="Hyperlink"/>
            <w:b/>
            <w:bCs/>
          </w:rPr>
          <w:t xml:space="preserve">Open Exam →</w:t>
        </w:r>
      </w:hyperlink>
      <w:r>
        <w:t xml:space="preserve"> </w:t>
      </w:r>
      <w:hyperlink r:id="rId27">
        <w:r>
          <w:rPr>
            <w:rStyle w:val="Hyperlink"/>
          </w:rPr>
          <w:t xml:space="preserve">Sinew Channels Exam (10 Questions)</w:t>
        </w:r>
        <w:r>
          <w:rPr>
            <w:rStyle w:val="Hyperlink"/>
          </w:rPr>
          <w:t xml:space="preserve">Sinew pathways and binding regions</w:t>
        </w:r>
        <w:r>
          <w:rPr>
            <w:rStyle w:val="Hyperlink"/>
            <w:b/>
            <w:bCs/>
          </w:rPr>
          <w:t xml:space="preserve">Open Exam →</w:t>
        </w:r>
      </w:hyperlink>
      <w:r>
        <w:t xml:space="preserve"> </w:t>
      </w:r>
      <w:hyperlink r:id="rId28">
        <w:r>
          <w:rPr>
            <w:rStyle w:val="Hyperlink"/>
          </w:rPr>
          <w:t xml:space="preserve">Extraordinary Vessels Exam (10 Questions)</w:t>
        </w:r>
        <w:r>
          <w:rPr>
            <w:rStyle w:val="Hyperlink"/>
          </w:rPr>
          <w:t xml:space="preserve">Selected Extraordinary Vessel patterns</w:t>
        </w:r>
        <w:r>
          <w:rPr>
            <w:rStyle w:val="Hyperlink"/>
            <w:b/>
            <w:bCs/>
          </w:rPr>
          <w:t xml:space="preserve">Open Exam →</w:t>
        </w:r>
      </w:hyperlink>
      <w:r>
        <w:t xml:space="preserve"> </w:t>
      </w:r>
      <w:hyperlink r:id="rId29">
        <w:r>
          <w:rPr>
            <w:rStyle w:val="Hyperlink"/>
          </w:rPr>
          <w:t xml:space="preserve">Same Family Comparison Exam (10 Questions)</w:t>
        </w:r>
        <w:r>
          <w:rPr>
            <w:rStyle w:val="Hyperlink"/>
          </w:rPr>
          <w:t xml:space="preserve">Compare pathways within one organ family</w:t>
        </w:r>
        <w:r>
          <w:rPr>
            <w:rStyle w:val="Hyperlink"/>
            <w:b/>
            <w:bCs/>
          </w:rPr>
          <w:t xml:space="preserve">Open Exam →</w:t>
        </w:r>
      </w:hyperlink>
      <w:r>
        <w:t xml:space="preserve"> </w:t>
      </w:r>
      <w:hyperlink r:id="rId30">
        <w:r>
          <w:rPr>
            <w:rStyle w:val="Hyperlink"/>
          </w:rPr>
          <w:t xml:space="preserve">Look Alike Pathways Exam (10 Questions)</w:t>
        </w:r>
        <w:r>
          <w:rPr>
            <w:rStyle w:val="Hyperlink"/>
          </w:rPr>
          <w:t xml:space="preserve">Distinguish visually similar routes</w:t>
        </w:r>
        <w:r>
          <w:rPr>
            <w:rStyle w:val="Hyperlink"/>
            <w:b/>
            <w:bCs/>
          </w:rPr>
          <w:t xml:space="preserve">Open Exam →</w:t>
        </w:r>
      </w:hyperlink>
      <w:r>
        <w:t xml:space="preserve"> </w:t>
      </w:r>
      <w:hyperlink r:id="rId31">
        <w:r>
          <w:rPr>
            <w:rStyle w:val="Hyperlink"/>
          </w:rPr>
          <w:t xml:space="preserve">Mixed Image Justification Exam (10 Questions)</w:t>
        </w:r>
        <w:r>
          <w:rPr>
            <w:rStyle w:val="Hyperlink"/>
          </w:rPr>
          <w:t xml:space="preserve">Identify and justify mixed pathway images</w:t>
        </w:r>
        <w:r>
          <w:rPr>
            <w:rStyle w:val="Hyperlink"/>
            <w:b/>
            <w:bCs/>
          </w:rPr>
          <w:t xml:space="preserve">Open Exam →</w:t>
        </w:r>
      </w:hyperlink>
      <w:r>
        <w:t xml:space="preserve"> </w:t>
      </w:r>
      <w:hyperlink r:id="rId32">
        <w:r>
          <w:rPr>
            <w:rStyle w:val="Hyperlink"/>
          </w:rPr>
          <w:t xml:space="preserve">Anatomical Region Organization Exam (10 Questions)</w:t>
        </w:r>
        <w:r>
          <w:rPr>
            <w:rStyle w:val="Hyperlink"/>
          </w:rPr>
          <w:t xml:space="preserve">Organize channel relationships by anatomical region</w:t>
        </w:r>
        <w:r>
          <w:rPr>
            <w:rStyle w:val="Hyperlink"/>
            <w:b/>
            <w:bCs/>
          </w:rPr>
          <w:t xml:space="preserve">Open Exam →</w:t>
        </w:r>
      </w:hyperlink>
      <w:r>
        <w:t xml:space="preserve"> </w:t>
      </w:r>
      <w:hyperlink r:id="rId33">
        <w:r>
          <w:rPr>
            <w:rStyle w:val="Hyperlink"/>
          </w:rPr>
          <w:t xml:space="preserve">Internal Connections Exam (10 Questions)</w:t>
        </w:r>
        <w:r>
          <w:rPr>
            <w:rStyle w:val="Hyperlink"/>
          </w:rPr>
          <w:t xml:space="preserve">Trace internal organ relationships and pathway connections</w:t>
        </w:r>
        <w:r>
          <w:rPr>
            <w:rStyle w:val="Hyperlink"/>
            <w:b/>
            <w:bCs/>
          </w:rPr>
          <w:t xml:space="preserve">Open Exam →</w:t>
        </w:r>
      </w:hyperlink>
      <w:r>
        <w:t xml:space="preserve"> </w:t>
      </w:r>
      <w:hyperlink r:id="rId34">
        <w:r>
          <w:rPr>
            <w:rStyle w:val="Hyperlink"/>
          </w:rPr>
          <w:t xml:space="preserve">Convergence Landmarks Exam (10 Questions)</w:t>
        </w:r>
        <w:r>
          <w:rPr>
            <w:rStyle w:val="Hyperlink"/>
          </w:rPr>
          <w:t xml:space="preserve">Identify shared landmarks and channel convergence hubs</w:t>
        </w:r>
        <w:r>
          <w:rPr>
            <w:rStyle w:val="Hyperlink"/>
            <w:b/>
            <w:bCs/>
          </w:rPr>
          <w:t xml:space="preserve">Open Exam →</w:t>
        </w:r>
      </w:hyperlink>
      <w:r>
        <w:t xml:space="preserve"> </w:t>
      </w:r>
      <w:hyperlink r:id="rId35">
        <w:r>
          <w:rPr>
            <w:rStyle w:val="Hyperlink"/>
          </w:rPr>
          <w:t xml:space="preserve">Channel Pathways Continuing Education Exam (10 Questions)</w:t>
        </w:r>
        <w:r>
          <w:rPr>
            <w:rStyle w:val="Hyperlink"/>
          </w:rPr>
          <w:t xml:space="preserve">Integrative Continuing Education assessment</w:t>
        </w:r>
        <w:r>
          <w:rPr>
            <w:rStyle w:val="Hyperlink"/>
            <w:b/>
            <w:bCs/>
          </w:rPr>
          <w:t xml:space="preserve">Open Exam →</w:t>
        </w:r>
      </w:hyperlink>
    </w:p>
    <w:p>
      <w:pPr>
        <w:pStyle w:val="BodyText"/>
      </w:pPr>
      <w:r>
        <w:t xml:space="preserve">Return to each objective before opening the related exams</w:t>
      </w:r>
    </w:p>
    <w:p>
      <w:pPr>
        <w:pStyle w:val="Compact"/>
        <w:numPr>
          <w:ilvl w:val="0"/>
          <w:numId w:val="1001"/>
        </w:numPr>
      </w:pPr>
      <w:hyperlink w:anchor="objective-1">
        <w:r>
          <w:rPr>
            <w:rStyle w:val="Hyperlink"/>
          </w:rPr>
          <w:t xml:space="preserve">Primary Channels</w:t>
        </w:r>
      </w:hyperlink>
    </w:p>
    <w:p>
      <w:pPr>
        <w:pStyle w:val="Compact"/>
        <w:numPr>
          <w:ilvl w:val="0"/>
          <w:numId w:val="1001"/>
        </w:numPr>
      </w:pPr>
      <w:hyperlink w:anchor="objective-2">
        <w:r>
          <w:rPr>
            <w:rStyle w:val="Hyperlink"/>
          </w:rPr>
          <w:t xml:space="preserve">Divergent Channels</w:t>
        </w:r>
      </w:hyperlink>
    </w:p>
    <w:p>
      <w:pPr>
        <w:pStyle w:val="Compact"/>
        <w:numPr>
          <w:ilvl w:val="0"/>
          <w:numId w:val="1001"/>
        </w:numPr>
      </w:pPr>
      <w:hyperlink w:anchor="objective-3">
        <w:r>
          <w:rPr>
            <w:rStyle w:val="Hyperlink"/>
          </w:rPr>
          <w:t xml:space="preserve">Luo-Connecting Channels</w:t>
        </w:r>
      </w:hyperlink>
    </w:p>
    <w:p>
      <w:pPr>
        <w:pStyle w:val="Compact"/>
        <w:numPr>
          <w:ilvl w:val="0"/>
          <w:numId w:val="1001"/>
        </w:numPr>
      </w:pPr>
      <w:hyperlink w:anchor="objective-4">
        <w:r>
          <w:rPr>
            <w:rStyle w:val="Hyperlink"/>
          </w:rPr>
          <w:t xml:space="preserve">Sinew Channels</w:t>
        </w:r>
      </w:hyperlink>
    </w:p>
    <w:p>
      <w:pPr>
        <w:pStyle w:val="Compact"/>
        <w:numPr>
          <w:ilvl w:val="0"/>
          <w:numId w:val="1001"/>
        </w:numPr>
      </w:pPr>
      <w:hyperlink w:anchor="objective-5">
        <w:r>
          <w:rPr>
            <w:rStyle w:val="Hyperlink"/>
          </w:rPr>
          <w:t xml:space="preserve">Extraordinary Vessels</w:t>
        </w:r>
      </w:hyperlink>
    </w:p>
    <w:p>
      <w:pPr>
        <w:pStyle w:val="Compact"/>
        <w:numPr>
          <w:ilvl w:val="0"/>
          <w:numId w:val="1001"/>
        </w:numPr>
      </w:pPr>
      <w:hyperlink w:anchor="objective-6">
        <w:r>
          <w:rPr>
            <w:rStyle w:val="Hyperlink"/>
          </w:rPr>
          <w:t xml:space="preserve">Same-family comparison</w:t>
        </w:r>
      </w:hyperlink>
    </w:p>
    <w:p>
      <w:pPr>
        <w:pStyle w:val="Compact"/>
        <w:numPr>
          <w:ilvl w:val="0"/>
          <w:numId w:val="1001"/>
        </w:numPr>
      </w:pPr>
      <w:hyperlink w:anchor="objective-7">
        <w:r>
          <w:rPr>
            <w:rStyle w:val="Hyperlink"/>
          </w:rPr>
          <w:t xml:space="preserve">Look-alike pathways</w:t>
        </w:r>
      </w:hyperlink>
    </w:p>
    <w:p>
      <w:pPr>
        <w:pStyle w:val="Compact"/>
        <w:numPr>
          <w:ilvl w:val="0"/>
          <w:numId w:val="1001"/>
        </w:numPr>
      </w:pPr>
      <w:hyperlink w:anchor="objective-8">
        <w:r>
          <w:rPr>
            <w:rStyle w:val="Hyperlink"/>
          </w:rPr>
          <w:t xml:space="preserve">Mixed-image justification</w:t>
        </w:r>
      </w:hyperlink>
    </w:p>
    <w:p>
      <w:pPr>
        <w:pStyle w:val="Compact"/>
        <w:numPr>
          <w:ilvl w:val="0"/>
          <w:numId w:val="1001"/>
        </w:numPr>
      </w:pPr>
      <w:hyperlink w:anchor="objective-9">
        <w:r>
          <w:rPr>
            <w:rStyle w:val="Hyperlink"/>
          </w:rPr>
          <w:t xml:space="preserve">Anatomical regions</w:t>
        </w:r>
      </w:hyperlink>
    </w:p>
    <w:p>
      <w:pPr>
        <w:pStyle w:val="Compact"/>
        <w:numPr>
          <w:ilvl w:val="0"/>
          <w:numId w:val="1001"/>
        </w:numPr>
      </w:pPr>
      <w:hyperlink w:anchor="objective-10">
        <w:r>
          <w:rPr>
            <w:rStyle w:val="Hyperlink"/>
          </w:rPr>
          <w:t xml:space="preserve">Internal connections</w:t>
        </w:r>
      </w:hyperlink>
    </w:p>
    <w:p>
      <w:pPr>
        <w:pStyle w:val="Compact"/>
        <w:numPr>
          <w:ilvl w:val="0"/>
          <w:numId w:val="1001"/>
        </w:numPr>
      </w:pPr>
      <w:hyperlink w:anchor="objective-11">
        <w:r>
          <w:rPr>
            <w:rStyle w:val="Hyperlink"/>
          </w:rPr>
          <w:t xml:space="preserve">Convergence landmarks</w:t>
        </w:r>
      </w:hyperlink>
    </w:p>
    <w:p>
      <w:pPr>
        <w:pStyle w:val="Compact"/>
        <w:numPr>
          <w:ilvl w:val="0"/>
          <w:numId w:val="1001"/>
        </w:numPr>
      </w:pPr>
      <w:hyperlink w:anchor="objective-12">
        <w:r>
          <w:rPr>
            <w:rStyle w:val="Hyperlink"/>
          </w:rPr>
          <w:t xml:space="preserve">Integrated pathway mapping</w:t>
        </w:r>
      </w:hyperlink>
    </w:p>
    <w:p>
      <w:pPr>
        <w:pStyle w:val="FirstParagraph"/>
      </w:pPr>
      <w:r>
        <w:t xml:space="preserve">📝 My Student Notes</w:t>
      </w:r>
    </w:p>
    <w:p>
      <w:pPr>
        <w:pStyle w:val="BodyText"/>
      </w:pPr>
      <w:r>
        <w:t xml:space="preserve">MY STUDENT NOTES</w:t>
      </w:r>
    </w:p>
    <w:bookmarkEnd w:id="36"/>
    <w:bookmarkStart w:id="75" w:name="record-your-recognition-cues"/>
    <w:p>
      <w:pPr>
        <w:pStyle w:val="Heading2"/>
      </w:pPr>
      <w:r>
        <w:t xml:space="preserve">Record your recognition cues</w:t>
      </w:r>
    </w:p>
    <w:p>
      <w:pPr>
        <w:pStyle w:val="FirstParagraph"/>
      </w:pPr>
      <w:r>
        <w:t xml:space="preserve">Write the landmarks that help you distinguish similar pathways.</w:t>
      </w:r>
    </w:p>
    <w:p>
      <w:pPr>
        <w:pStyle w:val="BodyText"/>
      </w:pPr>
      <w:r>
        <w:t xml:space="preserve">Save notes on this device</w:t>
      </w:r>
    </w:p>
    <w:p>
      <w:pPr>
        <w:pStyle w:val="BodyText"/>
      </w:pPr>
      <w:r>
        <w:t xml:space="preserve">School Level Exam — Channel Pathway Identification</w:t>
      </w:r>
    </w:p>
    <w:p>
      <w:pPr>
        <w:pStyle w:val="BodyText"/>
      </w:pPr>
      <w:r>
        <w:t xml:space="preserve">Use the School Level activities to reinforce terminology, pathway direction and the characteristic landmarks of each channel system.</w:t>
      </w:r>
    </w:p>
    <w:bookmarkStart w:id="43" w:name="school-level-activities"/>
    <w:bookmarkStart w:id="42" w:name="original-school-level-activities"/>
    <w:p>
      <w:pPr>
        <w:pStyle w:val="Heading3"/>
      </w:pPr>
      <w:r>
        <w:t xml:space="preserve">Original School Level activities</w:t>
      </w:r>
    </w:p>
    <w:p>
      <w:pPr>
        <w:pStyle w:val="FirstParagraph"/>
      </w:pPr>
      <w:r>
        <w:t xml:space="preserve">Open each original Moodle activity directly from this section. The original titles and links are unchanged.</w:t>
      </w:r>
    </w:p>
    <w:p>
      <w:pPr>
        <w:pStyle w:val="Compact"/>
        <w:numPr>
          <w:ilvl w:val="0"/>
          <w:numId w:val="1002"/>
        </w:numPr>
      </w:pPr>
      <w:r>
        <w:t xml:space="preserve">Channel Pathway MT (4)</w:t>
      </w:r>
      <w:r>
        <w:t xml:space="preserve">Primary Channel position matching</w:t>
      </w:r>
      <w:hyperlink r:id="rId37">
        <w:r>
          <w:rPr>
            <w:rStyle w:val="Hyperlink"/>
          </w:rPr>
          <w:t xml:space="preserve">Open Activity →</w:t>
        </w:r>
      </w:hyperlink>
    </w:p>
    <w:p>
      <w:pPr>
        <w:pStyle w:val="Compact"/>
        <w:numPr>
          <w:ilvl w:val="0"/>
          <w:numId w:val="1002"/>
        </w:numPr>
      </w:pPr>
      <w:r>
        <w:t xml:space="preserve">Channel Pathway (TF 7)</w:t>
      </w:r>
      <w:r>
        <w:t xml:space="preserve">Selected pathway and point-location statements</w:t>
      </w:r>
      <w:hyperlink r:id="rId38">
        <w:r>
          <w:rPr>
            <w:rStyle w:val="Hyperlink"/>
          </w:rPr>
          <w:t xml:space="preserve">Open Activity →</w:t>
        </w:r>
      </w:hyperlink>
    </w:p>
    <w:p>
      <w:pPr>
        <w:pStyle w:val="Compact"/>
        <w:numPr>
          <w:ilvl w:val="0"/>
          <w:numId w:val="1002"/>
        </w:numPr>
      </w:pPr>
      <w:r>
        <w:t xml:space="preserve">Divergents Channels MT 1</w:t>
      </w:r>
      <w:r>
        <w:t xml:space="preserve">Yang and Yin Divergent pattern matching</w:t>
      </w:r>
      <w:hyperlink r:id="rId39">
        <w:r>
          <w:rPr>
            <w:rStyle w:val="Hyperlink"/>
          </w:rPr>
          <w:t xml:space="preserve">Open Activity →</w:t>
        </w:r>
      </w:hyperlink>
    </w:p>
    <w:p>
      <w:pPr>
        <w:pStyle w:val="Compact"/>
        <w:numPr>
          <w:ilvl w:val="0"/>
          <w:numId w:val="1002"/>
        </w:numPr>
      </w:pPr>
      <w:r>
        <w:t xml:space="preserve">Point Location Channels Picture Identification 1 MC 20</w:t>
      </w:r>
      <w:r>
        <w:t xml:space="preserve">Visual identification</w:t>
      </w:r>
      <w:hyperlink r:id="rId40">
        <w:r>
          <w:rPr>
            <w:rStyle w:val="Hyperlink"/>
          </w:rPr>
          <w:t xml:space="preserve">Open Activity →</w:t>
        </w:r>
      </w:hyperlink>
    </w:p>
    <w:p>
      <w:pPr>
        <w:pStyle w:val="Compact"/>
        <w:numPr>
          <w:ilvl w:val="0"/>
          <w:numId w:val="1002"/>
        </w:numPr>
      </w:pPr>
      <w:r>
        <w:t xml:space="preserve">Point Location Channels Picture Identification 2 MC 22</w:t>
      </w:r>
      <w:r>
        <w:t xml:space="preserve">Visual identification</w:t>
      </w:r>
      <w:hyperlink r:id="rId41">
        <w:r>
          <w:rPr>
            <w:rStyle w:val="Hyperlink"/>
          </w:rPr>
          <w:t xml:space="preserve">Open Activity →</w:t>
        </w:r>
      </w:hyperlink>
    </w:p>
    <w:bookmarkEnd w:id="42"/>
    <w:bookmarkEnd w:id="43"/>
    <w:bookmarkStart w:id="47" w:name="exam-mock-progress"/>
    <w:p>
      <w:pPr>
        <w:pStyle w:val="FirstParagraph"/>
      </w:pPr>
      <w:r>
        <w:t xml:space="preserve">AUTOMATIC PRACTICE EXAM RECORD</w:t>
      </w:r>
    </w:p>
    <w:bookmarkStart w:id="44" w:name="board-progress-title"/>
    <w:p>
      <w:pPr>
        <w:pStyle w:val="Heading3"/>
      </w:pPr>
      <w:r>
        <w:t xml:space="preserve">My Practice Exam Results</w:t>
      </w:r>
    </w:p>
    <w:p>
      <w:pPr>
        <w:pStyle w:val="FirstParagraph"/>
      </w:pPr>
      <w:r>
        <w:t xml:space="preserve">One clear record for all 12 objective exams and the Continuing Education practice exam.</w:t>
      </w:r>
    </w:p>
    <w:p>
      <w:pPr>
        <w:pStyle w:val="BodyText"/>
      </w:pPr>
      <w:r>
        <w:t xml:space="preserve">13 practice exams tracked automatically in this browser</w:t>
      </w:r>
    </w:p>
    <w:bookmarkEnd w:id="44"/>
    <w:p>
      <w:pPr>
        <w:pStyle w:val="BodyText"/>
      </w:pPr>
      <w:bookmarkStart w:id="45" w:name="board-progress-level"/>
      <w:r>
        <w:t xml:space="preserve">No activity yet</w:t>
      </w:r>
      <w:bookmarkEnd w:id="45"/>
    </w:p>
    <w:p>
      <w:pPr>
        <w:pStyle w:val="BodyText"/>
      </w:pPr>
      <w:r>
        <w:rPr>
          <w:b/>
          <w:bCs/>
        </w:rPr>
        <w:t xml:space="preserve">1</w:t>
      </w:r>
      <w:r>
        <w:t xml:space="preserve">Latest and best result for each objective</w:t>
      </w:r>
    </w:p>
    <w:p>
      <w:pPr>
        <w:pStyle w:val="BodyText"/>
      </w:pPr>
      <w:r>
        <w:rPr>
          <w:b/>
          <w:bCs/>
        </w:rPr>
        <w:t xml:space="preserve">2</w:t>
      </w:r>
      <w:r>
        <w:t xml:space="preserve">Average of all completed practice exams</w:t>
      </w:r>
    </w:p>
    <w:p>
      <w:pPr>
        <w:pStyle w:val="BodyText"/>
      </w:pPr>
      <w:r>
        <w:rPr>
          <w:b/>
          <w:bCs/>
        </w:rPr>
        <w:t xml:space="preserve">3</w:t>
      </w:r>
      <w:r>
        <w:t xml:space="preserve">Completed exams and exams in progress</w:t>
      </w:r>
    </w:p>
    <w:p>
      <w:pPr>
        <w:pStyle w:val="BodyText"/>
      </w:pPr>
      <w:r>
        <w:rPr>
          <w:b/>
          <w:bCs/>
        </w:rPr>
        <w:t xml:space="preserve">4</w:t>
      </w:r>
      <w:r>
        <w:t xml:space="preserve">Automatic identification of the lowest-scoring objectives</w:t>
      </w:r>
    </w:p>
    <w:p>
      <w:pPr>
        <w:pStyle w:val="BodyText"/>
      </w:pPr>
      <w:r>
        <w:rPr>
          <w:b/>
          <w:bCs/>
        </w:rPr>
        <w:t xml:space="preserve">5</w:t>
      </w:r>
      <w:r>
        <w:t xml:space="preserve">Simple final evaluation with personalized recommendations</w:t>
      </w:r>
    </w:p>
    <w:p>
      <w:pPr>
        <w:pStyle w:val="BodyText"/>
      </w:pPr>
      <w:r>
        <w:rPr>
          <w:b/>
          <w:bCs/>
        </w:rPr>
        <w:t xml:space="preserve">6</w:t>
      </w:r>
      <w:r>
        <w:t xml:space="preserve">Results saved automatically in this browser</w:t>
      </w:r>
    </w:p>
    <w:p>
      <w:pPr>
        <w:pStyle w:val="BodyText"/>
      </w:pPr>
      <w:r>
        <w:rPr>
          <w:b/>
          <w:bCs/>
        </w:rPr>
        <w:t xml:space="preserve">0 / 13</w:t>
      </w:r>
      <w:r>
        <w:t xml:space="preserve">Exams completed</w:t>
      </w:r>
    </w:p>
    <w:p>
      <w:pPr>
        <w:pStyle w:val="BodyText"/>
      </w:pPr>
      <w:r>
        <w:rPr>
          <w:b/>
          <w:bCs/>
        </w:rPr>
        <w:t xml:space="preserve">—</w:t>
      </w:r>
      <w:r>
        <w:t xml:space="preserve">Completed-exam average</w:t>
      </w:r>
    </w:p>
    <w:p>
      <w:pPr>
        <w:pStyle w:val="BodyText"/>
      </w:pPr>
      <w:r>
        <w:rPr>
          <w:b/>
          <w:bCs/>
        </w:rPr>
        <w:t xml:space="preserve">0</w:t>
      </w:r>
      <w:r>
        <w:t xml:space="preserve">Exams in progress</w:t>
      </w:r>
    </w:p>
    <w:bookmarkStart w:id="46" w:name="board-progress-results"/>
    <w:p>
      <w:pPr>
        <w:pStyle w:val="BodyText"/>
      </w:pPr>
      <w:r>
        <w:t xml:space="preserve">No practice exam activity has been recorded yet. Open an exam below and check an answer to begin.</w:t>
      </w:r>
    </w:p>
    <w:bookmarkEnd w:id="46"/>
    <w:p>
      <w:pPr>
        <w:pStyle w:val="BodyText"/>
      </w:pPr>
      <w:r>
        <w:rPr>
          <w:b/>
          <w:bCs/>
        </w:rPr>
        <w:t xml:space="preserve">Saved automatically:</w:t>
      </w:r>
      <w:r>
        <w:t xml:space="preserve"> </w:t>
      </w:r>
      <w:r>
        <w:t xml:space="preserve">You do not need to remember or type a score. Results from Moodle examinations remain in Moodle Exam History because Moodle does not send those grades to this page.</w:t>
      </w:r>
    </w:p>
    <w:p>
      <w:pPr>
        <w:pStyle w:val="BodyText"/>
      </w:pPr>
      <w:hyperlink w:anchor="end-study-reflection">
        <w:r>
          <w:rPr>
            <w:rStyle w:val="Hyperlink"/>
          </w:rPr>
          <w:t xml:space="preserve">Open My Final Evaluation →</w:t>
        </w:r>
      </w:hyperlink>
    </w:p>
    <w:bookmarkEnd w:id="47"/>
    <w:p>
      <w:pPr>
        <w:pStyle w:val="BodyText"/>
      </w:pPr>
      <w:r>
        <w:t xml:space="preserve">Board Level Exam — Channel Pathway Identification</w:t>
      </w:r>
    </w:p>
    <w:p>
      <w:pPr>
        <w:pStyle w:val="BodyText"/>
      </w:pPr>
      <w:r>
        <w:t xml:space="preserve">Complete the twelve 10-question practice exams after reviewing the corresponding learning objective. Each exam identifies the objective being assessed and contains explanatory feedback; Objectives 9–12 also use the Anatomical Region Atlas, reverse-recall flashcards and integrated mapping activities.</w:t>
      </w:r>
    </w:p>
    <w:bookmarkStart w:id="48" w:name="board-mock-directory"/>
    <w:bookmarkEnd w:id="48"/>
    <w:p>
      <w:pPr>
        <w:pStyle w:val="BodyText"/>
      </w:pPr>
      <w:r>
        <w:t xml:space="preserve">Channel Pathways Continuing Education Exam (10 Questions)</w:t>
      </w:r>
    </w:p>
    <w:p>
      <w:pPr>
        <w:pStyle w:val="BodyText"/>
      </w:pPr>
      <w:r>
        <w:t xml:space="preserve">This is the mandatory module examination for Continuing Education. The Continuing Education certificate is received after this required exam is completed; all other chapter and practice examinations are optional.</w:t>
      </w:r>
    </w:p>
    <w:p>
      <w:pPr>
        <w:pStyle w:val="BodyText"/>
      </w:pPr>
      <w:hyperlink r:id="rId35">
        <w:r>
          <w:rPr>
            <w:rStyle w:val="Hyperlink"/>
          </w:rPr>
          <w:t xml:space="preserve">Open Continuing Education Exam — 10 Questions</w:t>
        </w:r>
      </w:hyperlink>
      <w:r>
        <w:t xml:space="preserve"> </w:t>
      </w:r>
      <w:r>
        <w:t xml:space="preserve">Mandatory for certificate · Other exams optional</w:t>
      </w:r>
    </w:p>
    <w:p>
      <w:pPr>
        <w:pStyle w:val="BodyText"/>
      </w:pPr>
      <w:r>
        <w:t xml:space="preserve">Course Bibliography and Source Notes</w:t>
      </w:r>
    </w:p>
    <w:p>
      <w:pPr>
        <w:pStyle w:val="BodyText"/>
      </w:pPr>
      <w:r>
        <w:t xml:space="preserve">REFERENCES · CHANNEL PATHWAYS</w:t>
      </w:r>
    </w:p>
    <w:bookmarkStart w:id="49" w:name="sources-supporting-this-course"/>
    <w:p>
      <w:pPr>
        <w:pStyle w:val="Heading2"/>
      </w:pPr>
      <w:r>
        <w:t xml:space="preserve">Sources supporting this course</w:t>
      </w:r>
    </w:p>
    <w:p>
      <w:pPr>
        <w:pStyle w:val="FirstParagraph"/>
      </w:pPr>
      <w:r>
        <w:t xml:space="preserve">These references support the terminology, channel descriptions, anatomical relationships and Board-oriented comparisons used throughout the chapter.</w:t>
      </w:r>
    </w:p>
    <w:bookmarkEnd w:id="49"/>
    <w:bookmarkStart w:id="50" w:name="core-channel-references"/>
    <w:p>
      <w:pPr>
        <w:pStyle w:val="Heading3"/>
      </w:pPr>
      <w:r>
        <w:t xml:space="preserve">Core channel references</w:t>
      </w:r>
    </w:p>
    <w:p>
      <w:pPr>
        <w:pStyle w:val="Compact"/>
        <w:numPr>
          <w:ilvl w:val="0"/>
          <w:numId w:val="1003"/>
        </w:numPr>
      </w:pPr>
      <w:r>
        <w:rPr>
          <w:b/>
          <w:bCs/>
        </w:rPr>
        <w:t xml:space="preserve">Deadman, Peter; Al-Khafaji, Mazin; and Baker, Kevin.</w:t>
      </w:r>
      <w:r>
        <w:t xml:space="preserve"> </w:t>
      </w:r>
      <w:r>
        <w:t xml:space="preserve">A Manual of Acupuncture. Journal of Chinese Medicine Publications. See the channel and collateral sections covering the Twelve Primary, Divergent and Sinew Channels, Luo-Connecting Channels and Eight Extraordinary Vessels.</w:t>
      </w:r>
    </w:p>
    <w:p>
      <w:pPr>
        <w:pStyle w:val="Compact"/>
        <w:numPr>
          <w:ilvl w:val="0"/>
          <w:numId w:val="1003"/>
        </w:numPr>
      </w:pPr>
      <w:r>
        <w:rPr>
          <w:b/>
          <w:bCs/>
        </w:rPr>
        <w:t xml:space="preserve">Maciocia, Giovanni.</w:t>
      </w:r>
      <w:r>
        <w:t xml:space="preserve"> </w:t>
      </w:r>
      <w:r>
        <w:t xml:space="preserve">The Foundations of Chinese Medicine: A Comprehensive Text. Elsevier / Churchill Livingstone. See the chapters on channels, collaterals and Extraordinary Vessels.</w:t>
      </w:r>
    </w:p>
    <w:p>
      <w:pPr>
        <w:pStyle w:val="Compact"/>
        <w:numPr>
          <w:ilvl w:val="0"/>
          <w:numId w:val="1003"/>
        </w:numPr>
      </w:pPr>
      <w:r>
        <w:rPr>
          <w:b/>
          <w:bCs/>
        </w:rPr>
        <w:t xml:space="preserve">Wang, Ju-Yi, and Robertson, Jason D.</w:t>
      </w:r>
      <w:r>
        <w:t xml:space="preserve"> </w:t>
      </w:r>
      <w:r>
        <w:t xml:space="preserve">Applied Channel Theory in Chinese Medicine: Wang Ju-Yi’s Lectures on Channel Therapy. Eastland Press. Useful for advanced channel-system reasoning and clinically oriented pathway comparisons.</w:t>
      </w:r>
    </w:p>
    <w:p>
      <w:pPr>
        <w:pStyle w:val="Compact"/>
        <w:numPr>
          <w:ilvl w:val="0"/>
          <w:numId w:val="1003"/>
        </w:numPr>
      </w:pPr>
      <w:r>
        <w:rPr>
          <w:b/>
          <w:bCs/>
        </w:rPr>
        <w:t xml:space="preserve">Wiseman, Nigel; Ellis, Andrew; and Boss, Ken.</w:t>
      </w:r>
      <w:r>
        <w:t xml:space="preserve"> </w:t>
      </w:r>
      <w:r>
        <w:t xml:space="preserve">Fundamentals of Chinese Acupuncture. Paradigm Publications. Used for foundational acupuncture terminology and systematic review.</w:t>
      </w:r>
    </w:p>
    <w:bookmarkEnd w:id="50"/>
    <w:bookmarkStart w:id="51" w:name="standards-and-examination-context"/>
    <w:p>
      <w:pPr>
        <w:pStyle w:val="Heading3"/>
      </w:pPr>
      <w:r>
        <w:t xml:space="preserve">Standards and examination context</w:t>
      </w:r>
    </w:p>
    <w:p>
      <w:pPr>
        <w:pStyle w:val="Compact"/>
        <w:numPr>
          <w:ilvl w:val="0"/>
          <w:numId w:val="1004"/>
        </w:numPr>
      </w:pPr>
      <w:r>
        <w:rPr>
          <w:b/>
          <w:bCs/>
        </w:rPr>
        <w:t xml:space="preserve">World Health Organization, Western Pacific Region.</w:t>
      </w:r>
      <w:r>
        <w:t xml:space="preserve"> </w:t>
      </w:r>
      <w:r>
        <w:t xml:space="preserve">WHO Standard Acupuncture Point Locations in the Western Pacific Region. WHO Regional Office for the Western Pacific.</w:t>
      </w:r>
    </w:p>
    <w:p>
      <w:pPr>
        <w:pStyle w:val="Compact"/>
        <w:numPr>
          <w:ilvl w:val="0"/>
          <w:numId w:val="1004"/>
        </w:numPr>
      </w:pPr>
      <w:r>
        <w:rPr>
          <w:b/>
          <w:bCs/>
        </w:rPr>
        <w:t xml:space="preserve">National Certification Board for Acupuncture and Herbal Medicine (NCBAHM; formerly NCCAOM).</w:t>
      </w:r>
      <w:r>
        <w:t xml:space="preserve"> </w:t>
      </w:r>
      <w:r>
        <w:t xml:space="preserve">Current candidate-preparation handbook, examination content outlines and terminology guidance consulted for Board-study organization.</w:t>
      </w:r>
    </w:p>
    <w:bookmarkEnd w:id="51"/>
    <w:bookmarkStart w:id="52" w:name="X109931710c2e914acd14ef0afa3754b7c450bcc"/>
    <w:p>
      <w:pPr>
        <w:pStyle w:val="Heading3"/>
      </w:pPr>
      <w:r>
        <w:t xml:space="preserve">Assigned course materials and visual sources</w:t>
      </w:r>
    </w:p>
    <w:p>
      <w:pPr>
        <w:pStyle w:val="Compact"/>
        <w:numPr>
          <w:ilvl w:val="0"/>
          <w:numId w:val="1005"/>
        </w:numPr>
      </w:pPr>
      <w:r>
        <w:t xml:space="preserve">Channel Pathway MT (4) and Channel Pathway (TF 7).</w:t>
      </w:r>
    </w:p>
    <w:p>
      <w:pPr>
        <w:pStyle w:val="Compact"/>
        <w:numPr>
          <w:ilvl w:val="0"/>
          <w:numId w:val="1005"/>
        </w:numPr>
      </w:pPr>
      <w:r>
        <w:t xml:space="preserve">Divergents Channels MT 1.</w:t>
      </w:r>
    </w:p>
    <w:p>
      <w:pPr>
        <w:pStyle w:val="Compact"/>
        <w:numPr>
          <w:ilvl w:val="0"/>
          <w:numId w:val="1005"/>
        </w:numPr>
      </w:pPr>
      <w:r>
        <w:t xml:space="preserve">Point Location Channels Picture Identification 1 MC 20.</w:t>
      </w:r>
    </w:p>
    <w:p>
      <w:pPr>
        <w:pStyle w:val="Compact"/>
        <w:numPr>
          <w:ilvl w:val="0"/>
          <w:numId w:val="1005"/>
        </w:numPr>
      </w:pPr>
      <w:r>
        <w:t xml:space="preserve">Point Location Channels Picture Identification 2 MC 22.</w:t>
      </w:r>
    </w:p>
    <w:p>
      <w:pPr>
        <w:pStyle w:val="Compact"/>
        <w:numPr>
          <w:ilvl w:val="0"/>
          <w:numId w:val="1005"/>
        </w:numPr>
      </w:pPr>
      <w:r>
        <w:t xml:space="preserve">Instructor-supplied pathway illustrations and assessment images used in this Moodle chapter.</w:t>
      </w:r>
    </w:p>
    <w:bookmarkEnd w:id="52"/>
    <w:p>
      <w:pPr>
        <w:pStyle w:val="FirstParagraph"/>
      </w:pPr>
      <w:r>
        <w:rPr>
          <w:b/>
          <w:bCs/>
        </w:rPr>
        <w:t xml:space="preserve">Educational use note:</w:t>
      </w:r>
      <w:r>
        <w:t xml:space="preserve"> </w:t>
      </w:r>
      <w:r>
        <w:t xml:space="preserve">the Anatomical Region Atlas and summary tables synthesize the listed channel descriptions for retrieval practice. They do not replace the complete source texts, modern anatomy instruction, clinical assessment or safety training.</w:t>
      </w:r>
    </w:p>
    <w:bookmarkStart w:id="74" w:name="self-evaluation"/>
    <w:p>
      <w:pPr>
        <w:pStyle w:val="BodyText"/>
      </w:pPr>
      <w:r>
        <w:t xml:space="preserve">FINAL REFLECTION · BOARD READINESS</w:t>
      </w:r>
    </w:p>
    <w:bookmarkStart w:id="53" w:name="self-evaluation-title"/>
    <w:p>
      <w:pPr>
        <w:pStyle w:val="Heading2"/>
      </w:pPr>
      <w:r>
        <w:t xml:space="preserve">Self-evaluation checklist</w:t>
      </w:r>
    </w:p>
    <w:p>
      <w:pPr>
        <w:pStyle w:val="FirstParagraph"/>
      </w:pPr>
      <w:r>
        <w:t xml:space="preserve">Rate every competency from 1 to 4 and write the next action that will move you forward. Your responses are saved only in this browser.</w:t>
      </w:r>
    </w:p>
    <w:bookmarkEnd w:id="53"/>
    <w:p>
      <w:pPr>
        <w:pStyle w:val="BodyText"/>
      </w:pPr>
      <w:r>
        <w:rPr>
          <w:b/>
          <w:bCs/>
        </w:rPr>
        <w:t xml:space="preserve">0 / 40</w:t>
      </w:r>
      <w:r>
        <w:t xml:space="preserve">current score</w:t>
      </w:r>
      <w:r>
        <w:t xml:space="preserve">0 of 10 rated</w:t>
      </w:r>
    </w:p>
    <w:p>
      <w:pPr>
        <w:pStyle w:val="BodyText"/>
      </w:pPr>
      <w:r>
        <w:rPr>
          <w:b/>
          <w:bCs/>
        </w:rPr>
        <w:t xml:space="preserve">1</w:t>
      </w:r>
      <w:r>
        <w:t xml:space="preserve"> </w:t>
      </w:r>
      <w:r>
        <w:t xml:space="preserve">Not yet</w:t>
      </w:r>
      <w:r>
        <w:rPr>
          <w:b/>
          <w:bCs/>
        </w:rPr>
        <w:t xml:space="preserve">2</w:t>
      </w:r>
      <w:r>
        <w:t xml:space="preserve"> </w:t>
      </w:r>
      <w:r>
        <w:t xml:space="preserve">With notes</w:t>
      </w:r>
      <w:r>
        <w:rPr>
          <w:b/>
          <w:bCs/>
        </w:rPr>
        <w:t xml:space="preserve">3</w:t>
      </w:r>
      <w:r>
        <w:t xml:space="preserve"> </w:t>
      </w:r>
      <w:r>
        <w:t xml:space="preserve">Independently</w:t>
      </w:r>
      <w:r>
        <w:rPr>
          <w:b/>
          <w:bCs/>
        </w:rPr>
        <w:t xml:space="preserve">4</w:t>
      </w:r>
      <w:r>
        <w:t xml:space="preserve"> </w:t>
      </w:r>
      <w:r>
        <w:t xml:space="preserve">Can explain and teach it</w:t>
      </w:r>
    </w:p>
    <w:p>
      <w:pPr>
        <w:pStyle w:val="BodyText"/>
      </w:pPr>
      <w:bookmarkStart w:id="54" w:name="self-progress-bar"/>
      <w:bookmarkEnd w:id="54"/>
    </w:p>
    <w:p>
      <w:pPr>
        <w:pStyle w:val="BodyText"/>
      </w:pPr>
      <w:r>
        <w:t xml:space="preserve">WHAT TO WRITE IN “MY NEXT STUDY STEP”</w:t>
      </w:r>
    </w:p>
    <w:p>
      <w:pPr>
        <w:pStyle w:val="BodyText"/>
      </w:pPr>
      <w:r>
        <w:t xml:space="preserve">After choosing 1–4, write</w:t>
      </w:r>
      <w:r>
        <w:t xml:space="preserve"> </w:t>
      </w:r>
      <w:r>
        <w:rPr>
          <w:b/>
          <w:bCs/>
        </w:rPr>
        <w:t xml:space="preserve">one specific task you will do next</w:t>
      </w:r>
      <w:r>
        <w:t xml:space="preserve">. Use:</w:t>
      </w:r>
      <w:r>
        <w:t xml:space="preserve"> </w:t>
      </w:r>
      <w:r>
        <w:rPr>
          <w:b/>
          <w:bCs/>
        </w:rPr>
        <w:t xml:space="preserve">action + quantity + topic</w:t>
      </w:r>
      <w:r>
        <w:t xml:space="preserve">.</w:t>
      </w:r>
    </w:p>
    <w:p>
      <w:pPr>
        <w:pStyle w:val="BodyText"/>
      </w:pPr>
      <w:r>
        <w:rPr>
          <w:b/>
          <w:bCs/>
        </w:rPr>
        <w:t xml:space="preserve">Example: “Practice 10 black-and-white pathway images tomorrow.”</w:t>
      </w:r>
    </w:p>
    <w:p>
      <w:pPr>
        <w:pStyle w:val="BodyText"/>
      </w:pPr>
      <w:r>
        <w:t xml:space="preserve">Competency</w:t>
      </w:r>
      <w:r>
        <w:rPr>
          <w:b/>
          <w:bCs/>
        </w:rPr>
        <w:t xml:space="preserve">1</w:t>
      </w:r>
      <w:r>
        <w:t xml:space="preserve">Not yet</w:t>
      </w:r>
      <w:r>
        <w:rPr>
          <w:b/>
          <w:bCs/>
        </w:rPr>
        <w:t xml:space="preserve">2</w:t>
      </w:r>
      <w:r>
        <w:t xml:space="preserve">With notes</w:t>
      </w:r>
      <w:r>
        <w:rPr>
          <w:b/>
          <w:bCs/>
        </w:rPr>
        <w:t xml:space="preserve">3</w:t>
      </w:r>
      <w:r>
        <w:t xml:space="preserve">On my own</w:t>
      </w:r>
      <w:r>
        <w:rPr>
          <w:b/>
          <w:bCs/>
        </w:rPr>
        <w:t xml:space="preserve">4</w:t>
      </w:r>
      <w:r>
        <w:t xml:space="preserve">I can teach it</w:t>
      </w:r>
      <w:r>
        <w:t xml:space="preserve">My next study step</w:t>
      </w:r>
    </w:p>
    <w:p>
      <w:pPr>
        <w:pStyle w:val="BodyText"/>
      </w:pPr>
      <w:r>
        <w:t xml:space="preserve">I can reconstruct the four Primary directional groups.</w:t>
      </w:r>
    </w:p>
    <w:p>
      <w:pPr>
        <w:pStyle w:val="BodyText"/>
      </w:pPr>
      <w:r>
        <w:t xml:space="preserve">1</w:t>
      </w:r>
      <w:r>
        <w:t xml:space="preserve">2</w:t>
      </w:r>
      <w:r>
        <w:t xml:space="preserve">3</w:t>
      </w:r>
      <w:r>
        <w:t xml:space="preserve">4</w:t>
      </w:r>
    </w:p>
    <w:p>
      <w:pPr>
        <w:pStyle w:val="BodyText"/>
      </w:pPr>
      <w:r>
        <w:t xml:space="preserve">I can distinguish Primary, Divergent, Luo and Sinew organization.</w:t>
      </w:r>
    </w:p>
    <w:p>
      <w:pPr>
        <w:pStyle w:val="BodyText"/>
      </w:pPr>
      <w:r>
        <w:t xml:space="preserve">1</w:t>
      </w:r>
      <w:r>
        <w:t xml:space="preserve">2</w:t>
      </w:r>
      <w:r>
        <w:t xml:space="preserve">3</w:t>
      </w:r>
      <w:r>
        <w:t xml:space="preserve">4</w:t>
      </w:r>
    </w:p>
    <w:p>
      <w:pPr>
        <w:pStyle w:val="BodyText"/>
      </w:pPr>
      <w:r>
        <w:t xml:space="preserve">I can identify a route without relying on color.</w:t>
      </w:r>
    </w:p>
    <w:p>
      <w:pPr>
        <w:pStyle w:val="BodyText"/>
      </w:pPr>
      <w:r>
        <w:t xml:space="preserve">1</w:t>
      </w:r>
      <w:r>
        <w:t xml:space="preserve">2</w:t>
      </w:r>
      <w:r>
        <w:t xml:space="preserve">3</w:t>
      </w:r>
      <w:r>
        <w:t xml:space="preserve">4</w:t>
      </w:r>
    </w:p>
    <w:p>
      <w:pPr>
        <w:pStyle w:val="BodyText"/>
      </w:pPr>
      <w:r>
        <w:t xml:space="preserve">I can provide two independent landmarks.</w:t>
      </w:r>
    </w:p>
    <w:p>
      <w:pPr>
        <w:pStyle w:val="BodyText"/>
      </w:pPr>
      <w:r>
        <w:t xml:space="preserve">1</w:t>
      </w:r>
      <w:r>
        <w:t xml:space="preserve">2</w:t>
      </w:r>
      <w:r>
        <w:t xml:space="preserve">3</w:t>
      </w:r>
      <w:r>
        <w:t xml:space="preserve">4</w:t>
      </w:r>
    </w:p>
    <w:p>
      <w:pPr>
        <w:pStyle w:val="BodyText"/>
      </w:pPr>
      <w:r>
        <w:t xml:space="preserve">I can compare pathways from the same organ family.</w:t>
      </w:r>
    </w:p>
    <w:p>
      <w:pPr>
        <w:pStyle w:val="BodyText"/>
      </w:pPr>
      <w:r>
        <w:t xml:space="preserve">1</w:t>
      </w:r>
      <w:r>
        <w:t xml:space="preserve">2</w:t>
      </w:r>
      <w:r>
        <w:t xml:space="preserve">3</w:t>
      </w:r>
      <w:r>
        <w:t xml:space="preserve">4</w:t>
      </w:r>
    </w:p>
    <w:p>
      <w:pPr>
        <w:pStyle w:val="BodyText"/>
      </w:pPr>
      <w:r>
        <w:t xml:space="preserve">I can work backward from an anatomical region.</w:t>
      </w:r>
    </w:p>
    <w:p>
      <w:pPr>
        <w:pStyle w:val="BodyText"/>
      </w:pPr>
      <w:r>
        <w:t xml:space="preserve">1</w:t>
      </w:r>
      <w:r>
        <w:t xml:space="preserve">2</w:t>
      </w:r>
      <w:r>
        <w:t xml:space="preserve">3</w:t>
      </w:r>
      <w:r>
        <w:t xml:space="preserve">4</w:t>
      </w:r>
    </w:p>
    <w:p>
      <w:pPr>
        <w:pStyle w:val="BodyText"/>
      </w:pPr>
      <w:r>
        <w:t xml:space="preserve">I can distinguish internal action words.</w:t>
      </w:r>
    </w:p>
    <w:p>
      <w:pPr>
        <w:pStyle w:val="BodyText"/>
      </w:pPr>
      <w:r>
        <w:t xml:space="preserve">1</w:t>
      </w:r>
      <w:r>
        <w:t xml:space="preserve">2</w:t>
      </w:r>
      <w:r>
        <w:t xml:space="preserve">3</w:t>
      </w:r>
      <w:r>
        <w:t xml:space="preserve">4</w:t>
      </w:r>
    </w:p>
    <w:p>
      <w:pPr>
        <w:pStyle w:val="BodyText"/>
      </w:pPr>
      <w:r>
        <w:t xml:space="preserve">I can explain a convergence landmark.</w:t>
      </w:r>
    </w:p>
    <w:p>
      <w:pPr>
        <w:pStyle w:val="BodyText"/>
      </w:pPr>
      <w:r>
        <w:t xml:space="preserve">1</w:t>
      </w:r>
      <w:r>
        <w:t xml:space="preserve">2</w:t>
      </w:r>
      <w:r>
        <w:t xml:space="preserve">3</w:t>
      </w:r>
      <w:r>
        <w:t xml:space="preserve">4</w:t>
      </w:r>
    </w:p>
    <w:p>
      <w:pPr>
        <w:pStyle w:val="BodyText"/>
      </w:pPr>
      <w:r>
        <w:t xml:space="preserve">I can reject the closest alternative precisely.</w:t>
      </w:r>
    </w:p>
    <w:p>
      <w:pPr>
        <w:pStyle w:val="BodyText"/>
      </w:pPr>
      <w:r>
        <w:t xml:space="preserve">1</w:t>
      </w:r>
      <w:r>
        <w:t xml:space="preserve">2</w:t>
      </w:r>
      <w:r>
        <w:t xml:space="preserve">3</w:t>
      </w:r>
      <w:r>
        <w:t xml:space="preserve">4</w:t>
      </w:r>
    </w:p>
    <w:p>
      <w:pPr>
        <w:pStyle w:val="BodyText"/>
      </w:pPr>
      <w:r>
        <w:t xml:space="preserve">I can analyze and correct my practice-exam errors.</w:t>
      </w:r>
    </w:p>
    <w:p>
      <w:pPr>
        <w:pStyle w:val="BodyText"/>
      </w:pPr>
      <w:r>
        <w:t xml:space="preserve">1</w:t>
      </w:r>
      <w:r>
        <w:t xml:space="preserve">2</w:t>
      </w:r>
      <w:r>
        <w:t xml:space="preserve">3</w:t>
      </w:r>
      <w:r>
        <w:t xml:space="preserve">4</w:t>
      </w:r>
    </w:p>
    <w:p>
      <w:pPr>
        <w:pStyle w:val="BodyText"/>
      </w:pPr>
      <w:r>
        <w:t xml:space="preserve">FINAL BOARD PREPARATION</w:t>
      </w:r>
    </w:p>
    <w:bookmarkStart w:id="55" w:name="readiness-checklist"/>
    <w:p>
      <w:pPr>
        <w:pStyle w:val="Heading3"/>
      </w:pPr>
      <w:r>
        <w:t xml:space="preserve">Readiness checklist</w:t>
      </w:r>
    </w:p>
    <w:bookmarkEnd w:id="55"/>
    <w:p>
      <w:pPr>
        <w:pStyle w:val="FirstParagraph"/>
      </w:pPr>
      <w:r>
        <w:rPr>
          <w:b/>
          <w:bCs/>
        </w:rPr>
        <w:t xml:space="preserve">0 / 10 complete</w:t>
      </w:r>
    </w:p>
    <w:p>
      <w:pPr>
        <w:pStyle w:val="BodyText"/>
      </w:pPr>
      <w:r>
        <w:t xml:space="preserve">I reviewed the current examination content outline and candidate resources.</w:t>
      </w:r>
    </w:p>
    <w:p>
      <w:pPr>
        <w:pStyle w:val="BodyText"/>
      </w:pPr>
      <w:r>
        <w:t xml:space="preserve">I can draw the four Primary groups without notes.</w:t>
      </w:r>
    </w:p>
    <w:p>
      <w:pPr>
        <w:pStyle w:val="BodyText"/>
      </w:pPr>
      <w:r>
        <w:t xml:space="preserve">I completed at least four same-family comparison matrices.</w:t>
      </w:r>
    </w:p>
    <w:p>
      <w:pPr>
        <w:pStyle w:val="BodyText"/>
      </w:pPr>
      <w:r>
        <w:t xml:space="preserve">I created reverse-recall cards for major anatomical regions.</w:t>
      </w:r>
    </w:p>
    <w:p>
      <w:pPr>
        <w:pStyle w:val="BodyText"/>
      </w:pPr>
      <w:r>
        <w:t xml:space="preserve">I can explain the heel, eye, diaphragm, DU-14, LI-15 and GB-30 relationships.</w:t>
      </w:r>
    </w:p>
    <w:p>
      <w:pPr>
        <w:pStyle w:val="BodyText"/>
      </w:pPr>
      <w:r>
        <w:t xml:space="preserve">I practiced images without depending on color.</w:t>
      </w:r>
    </w:p>
    <w:p>
      <w:pPr>
        <w:pStyle w:val="BodyText"/>
      </w:pPr>
      <w:r>
        <w:t xml:space="preserve">I recorded errors by category and corrected the underlying rule.</w:t>
      </w:r>
    </w:p>
    <w:p>
      <w:pPr>
        <w:pStyle w:val="BodyText"/>
      </w:pPr>
      <w:r>
        <w:t xml:space="preserve">I can justify an answer with two landmarks in one or two sentences.</w:t>
      </w:r>
    </w:p>
    <w:p>
      <w:pPr>
        <w:pStyle w:val="BodyText"/>
      </w:pPr>
      <w:r>
        <w:t xml:space="preserve">I reviewed the closest alternatives rather than memorizing answer positions.</w:t>
      </w:r>
    </w:p>
    <w:p>
      <w:pPr>
        <w:pStyle w:val="BodyText"/>
      </w:pPr>
      <w:r>
        <w:t xml:space="preserve">I separated Board practice from the Continuing Education certification requirement.</w:t>
      </w:r>
    </w:p>
    <w:p>
      <w:pPr>
        <w:pStyle w:val="BodyText"/>
      </w:pPr>
      <w:r>
        <w:t xml:space="preserve">Responses save automatically in this browser.</w:t>
      </w:r>
    </w:p>
    <w:p>
      <w:pPr>
        <w:pStyle w:val="BodyText"/>
      </w:pPr>
      <w:r>
        <w:t xml:space="preserve">Clear my responses</w:t>
      </w:r>
    </w:p>
    <w:p>
      <w:pPr>
        <w:pStyle w:val="BodyText"/>
      </w:pPr>
      <w:r>
        <w:t xml:space="preserve">PERSONALIZED FEEDBACK</w:t>
      </w:r>
    </w:p>
    <w:bookmarkStart w:id="56" w:name="X154588819c283f5d2df706fca1c44bc4b0d74d6"/>
    <w:p>
      <w:pPr>
        <w:pStyle w:val="Heading3"/>
      </w:pPr>
      <w:r>
        <w:t xml:space="preserve">Receive your Board preparation evaluation</w:t>
      </w:r>
    </w:p>
    <w:p>
      <w:pPr>
        <w:pStyle w:val="FirstParagraph"/>
      </w:pPr>
      <w:r>
        <w:t xml:space="preserve">Complete the ratings and checklist, then generate recommendations based on your responses.</w:t>
      </w:r>
    </w:p>
    <w:bookmarkEnd w:id="56"/>
    <w:p>
      <w:pPr>
        <w:pStyle w:val="BodyText"/>
      </w:pPr>
      <w:r>
        <w:t xml:space="preserve">Generate My Evaluation</w:t>
      </w:r>
    </w:p>
    <w:bookmarkStart w:id="63" w:name="personalized-evaluation"/>
    <w:p>
      <w:pPr>
        <w:pStyle w:val="BodyText"/>
      </w:pPr>
      <w:r>
        <w:t xml:space="preserve">YOUR RESULTS</w:t>
      </w:r>
    </w:p>
    <w:bookmarkStart w:id="57" w:name="evaluation-title"/>
    <w:p>
      <w:pPr>
        <w:pStyle w:val="Heading3"/>
      </w:pPr>
      <w:r>
        <w:t xml:space="preserve">Personalized study evaluation</w:t>
      </w:r>
    </w:p>
    <w:bookmarkEnd w:id="57"/>
    <w:p>
      <w:pPr>
        <w:pStyle w:val="FirstParagraph"/>
      </w:pPr>
      <w:bookmarkStart w:id="58" w:name="evaluation-level"/>
      <w:r>
        <w:t xml:space="preserve">Incomplete</w:t>
      </w:r>
      <w:bookmarkEnd w:id="58"/>
    </w:p>
    <w:p>
      <w:pPr>
        <w:pStyle w:val="BodyText"/>
      </w:pPr>
      <w:r>
        <w:rPr>
          <w:b/>
          <w:bCs/>
        </w:rPr>
        <w:t xml:space="preserve">0 / 40</w:t>
      </w:r>
      <w:r>
        <w:t xml:space="preserve">Competency score</w:t>
      </w:r>
    </w:p>
    <w:p>
      <w:pPr>
        <w:pStyle w:val="BodyText"/>
      </w:pPr>
      <w:r>
        <w:rPr>
          <w:b/>
          <w:bCs/>
        </w:rPr>
        <w:t xml:space="preserve">0.0</w:t>
      </w:r>
      <w:r>
        <w:t xml:space="preserve">Average rating</w:t>
      </w:r>
    </w:p>
    <w:p>
      <w:pPr>
        <w:pStyle w:val="BodyText"/>
      </w:pPr>
      <w:r>
        <w:rPr>
          <w:b/>
          <w:bCs/>
        </w:rPr>
        <w:t xml:space="preserve">0 / 10</w:t>
      </w:r>
      <w:r>
        <w:t xml:space="preserve">Readiness actions</w:t>
      </w:r>
    </w:p>
    <w:bookmarkStart w:id="59" w:name="priority-competencies"/>
    <w:p>
      <w:pPr>
        <w:pStyle w:val="Heading4"/>
      </w:pPr>
      <w:r>
        <w:t xml:space="preserve">Priority competencies</w:t>
      </w:r>
    </w:p>
    <w:bookmarkEnd w:id="59"/>
    <w:bookmarkStart w:id="60" w:name="recommended-next-steps"/>
    <w:p>
      <w:pPr>
        <w:pStyle w:val="Heading4"/>
      </w:pPr>
      <w:r>
        <w:t xml:space="preserve">Recommended next steps</w:t>
      </w:r>
    </w:p>
    <w:bookmarkEnd w:id="60"/>
    <w:bookmarkStart w:id="61" w:name="your-personal-study-commitments"/>
    <w:p>
      <w:pPr>
        <w:pStyle w:val="Heading4"/>
      </w:pPr>
      <w:r>
        <w:t xml:space="preserve">Your personal study commitments</w:t>
      </w:r>
    </w:p>
    <w:bookmarkEnd w:id="61"/>
    <w:bookmarkStart w:id="62" w:name="board-readiness-items-still-pending"/>
    <w:p>
      <w:pPr>
        <w:pStyle w:val="Heading4"/>
      </w:pPr>
      <w:r>
        <w:t xml:space="preserve">Board-readiness items still pending</w:t>
      </w:r>
    </w:p>
    <w:bookmarkEnd w:id="62"/>
    <w:p>
      <w:pPr>
        <w:pStyle w:val="FirstParagraph"/>
      </w:pPr>
      <w:r>
        <w:t xml:space="preserve">This study feedback supports preparation and reflection. It is not a prediction or guarantee of Board examination performance.</w:t>
      </w:r>
    </w:p>
    <w:bookmarkEnd w:id="63"/>
    <w:bookmarkStart w:id="73" w:name="end-study-reflection"/>
    <w:p>
      <w:pPr>
        <w:pStyle w:val="BodyText"/>
      </w:pPr>
      <w:r>
        <w:t xml:space="preserve">AFTER YOU STUDY · 5 MINUTES</w:t>
      </w:r>
    </w:p>
    <w:bookmarkStart w:id="64" w:name="end-study-title"/>
    <w:p>
      <w:pPr>
        <w:pStyle w:val="Heading3"/>
      </w:pPr>
      <w:r>
        <w:t xml:space="preserve">Did the course meet your learning needs?</w:t>
      </w:r>
    </w:p>
    <w:p>
      <w:pPr>
        <w:pStyle w:val="FirstParagraph"/>
      </w:pPr>
      <w:r>
        <w:t xml:space="preserve">Compare your starting point with what you can do now. This reflection measures perceived progress; use your practice-exam results as the objective check.</w:t>
      </w:r>
    </w:p>
    <w:bookmarkEnd w:id="64"/>
    <w:p>
      <w:pPr>
        <w:pStyle w:val="BodyText"/>
      </w:pPr>
      <w:r>
        <w:t xml:space="preserve">2 · Reflection</w:t>
      </w:r>
    </w:p>
    <w:p>
      <w:pPr>
        <w:pStyle w:val="BodyText"/>
      </w:pPr>
      <w:r>
        <w:t xml:space="preserve">How confident are you now?</w:t>
      </w:r>
    </w:p>
    <w:p>
      <w:pPr>
        <w:pStyle w:val="BodyText"/>
      </w:pPr>
      <w:r>
        <w:t xml:space="preserve">Choose the same scale used at the beginning so the comparison is meaningful.</w:t>
      </w:r>
    </w:p>
    <w:p>
      <w:pPr>
        <w:pStyle w:val="BodyText"/>
      </w:pPr>
      <w:r>
        <w:rPr>
          <w:b/>
          <w:bCs/>
        </w:rPr>
        <w:t xml:space="preserve">1 · Not yet</w:t>
      </w:r>
      <w:r>
        <w:t xml:space="preserve">I still cannot identify the routes.</w:t>
      </w:r>
      <w:r>
        <w:rPr>
          <w:b/>
          <w:bCs/>
        </w:rPr>
        <w:t xml:space="preserve">2 · With notes</w:t>
      </w:r>
      <w:r>
        <w:t xml:space="preserve">I can recognize routes with support.</w:t>
      </w:r>
      <w:r>
        <w:rPr>
          <w:b/>
          <w:bCs/>
        </w:rPr>
        <w:t xml:space="preserve">3 · Independently</w:t>
      </w:r>
      <w:r>
        <w:t xml:space="preserve">I can solve most pathway questions alone.</w:t>
      </w:r>
      <w:r>
        <w:rPr>
          <w:b/>
          <w:bCs/>
        </w:rPr>
        <w:t xml:space="preserve">4 · I can teach it</w:t>
      </w:r>
      <w:r>
        <w:t xml:space="preserve">I can justify and explain my answers.</w:t>
      </w:r>
    </w:p>
    <w:p>
      <w:pPr>
        <w:pStyle w:val="BodyText"/>
      </w:pPr>
      <w:r>
        <w:t xml:space="preserve">AUTOMATIC RESULT CONNECTION</w:t>
      </w:r>
    </w:p>
    <w:bookmarkStart w:id="65" w:name="Xaa1a2220450defd5355d0f190203fa9e2018dee"/>
    <w:p>
      <w:pPr>
        <w:pStyle w:val="Heading4"/>
      </w:pPr>
      <w:r>
        <w:t xml:space="preserve">Your practice exam results are included automatically</w:t>
      </w:r>
    </w:p>
    <w:p>
      <w:pPr>
        <w:pStyle w:val="FirstParagraph"/>
      </w:pPr>
      <w:r>
        <w:t xml:space="preserve">The reflection below uses the results saved in your main Practice Exam Results panel. You do not need to remember or enter a score again.</w:t>
      </w:r>
    </w:p>
    <w:bookmarkEnd w:id="65"/>
    <w:p>
      <w:pPr>
        <w:pStyle w:val="BodyText"/>
      </w:pPr>
      <w:r>
        <w:rPr>
          <w:b/>
          <w:bCs/>
        </w:rPr>
        <w:t xml:space="preserve">12 objective exams + 1 CE practice exam</w:t>
      </w:r>
    </w:p>
    <w:p>
      <w:pPr>
        <w:pStyle w:val="BodyText"/>
      </w:pPr>
      <w:r>
        <w:t xml:space="preserve">How deeply did you study?</w:t>
      </w:r>
    </w:p>
    <w:p>
      <w:pPr>
        <w:pStyle w:val="BodyText"/>
      </w:pPr>
      <w:r>
        <w:rPr>
          <w:b/>
          <w:bCs/>
        </w:rPr>
        <w:t xml:space="preserve">1 · Skimmed</w:t>
      </w:r>
      <w:r>
        <w:t xml:space="preserve"> </w:t>
      </w:r>
      <w:r>
        <w:t xml:space="preserve">— read or viewed once</w:t>
      </w:r>
      <w:r>
        <w:rPr>
          <w:b/>
          <w:bCs/>
        </w:rPr>
        <w:t xml:space="preserve">2 · Reviewed</w:t>
      </w:r>
      <w:r>
        <w:t xml:space="preserve"> </w:t>
      </w:r>
      <w:r>
        <w:t xml:space="preserve">— used notes or tables</w:t>
      </w:r>
      <w:r>
        <w:rPr>
          <w:b/>
          <w:bCs/>
        </w:rPr>
        <w:t xml:space="preserve">3 · Practiced</w:t>
      </w:r>
      <w:r>
        <w:t xml:space="preserve"> </w:t>
      </w:r>
      <w:r>
        <w:t xml:space="preserve">— completed recall or practice-exam work</w:t>
      </w:r>
      <w:r>
        <w:rPr>
          <w:b/>
          <w:bCs/>
        </w:rPr>
        <w:t xml:space="preserve">4 · Mastered</w:t>
      </w:r>
      <w:r>
        <w:t xml:space="preserve"> </w:t>
      </w:r>
      <w:r>
        <w:t xml:space="preserve">— can explain and defend answers</w:t>
      </w:r>
    </w:p>
    <w:p>
      <w:pPr>
        <w:pStyle w:val="BodyText"/>
      </w:pPr>
      <w:r>
        <w:t xml:space="preserve">How much more review do you need?</w:t>
      </w:r>
    </w:p>
    <w:p>
      <w:pPr>
        <w:pStyle w:val="BodyText"/>
      </w:pPr>
      <w:r>
        <w:rPr>
          <w:b/>
          <w:bCs/>
        </w:rPr>
        <w:t xml:space="preserve">1 · Extensive</w:t>
      </w:r>
      <w:r>
        <w:t xml:space="preserve"> </w:t>
      </w:r>
      <w:r>
        <w:t xml:space="preserve">— rebuild the foundations</w:t>
      </w:r>
      <w:r>
        <w:rPr>
          <w:b/>
          <w:bCs/>
        </w:rPr>
        <w:t xml:space="preserve">2 · Moderate</w:t>
      </w:r>
      <w:r>
        <w:t xml:space="preserve"> </w:t>
      </w:r>
      <w:r>
        <w:t xml:space="preserve">— revisit several areas</w:t>
      </w:r>
      <w:r>
        <w:rPr>
          <w:b/>
          <w:bCs/>
        </w:rPr>
        <w:t xml:space="preserve">3 · Targeted</w:t>
      </w:r>
      <w:r>
        <w:t xml:space="preserve"> </w:t>
      </w:r>
      <w:r>
        <w:t xml:space="preserve">— review a few weak areas</w:t>
      </w:r>
      <w:r>
        <w:rPr>
          <w:b/>
          <w:bCs/>
        </w:rPr>
        <w:t xml:space="preserve">4 · Minimal</w:t>
      </w:r>
      <w:r>
        <w:t xml:space="preserve"> </w:t>
      </w:r>
      <w:r>
        <w:t xml:space="preserve">— maintain with practice</w:t>
      </w:r>
    </w:p>
    <w:p>
      <w:pPr>
        <w:pStyle w:val="BodyText"/>
      </w:pPr>
      <w:r>
        <w:t xml:space="preserve">How useful was the course?</w:t>
      </w:r>
    </w:p>
    <w:p>
      <w:pPr>
        <w:pStyle w:val="BodyText"/>
      </w:pPr>
      <w:r>
        <w:rPr>
          <w:b/>
          <w:bCs/>
        </w:rPr>
        <w:t xml:space="preserve">1 · Not useful yet</w:t>
      </w:r>
      <w:r>
        <w:rPr>
          <w:b/>
          <w:bCs/>
        </w:rPr>
        <w:t xml:space="preserve">2 · Somewhat useful</w:t>
      </w:r>
      <w:r>
        <w:rPr>
          <w:b/>
          <w:bCs/>
        </w:rPr>
        <w:t xml:space="preserve">3 · Useful</w:t>
      </w:r>
      <w:r>
        <w:rPr>
          <w:b/>
          <w:bCs/>
        </w:rPr>
        <w:t xml:space="preserve">4 · Very useful</w:t>
      </w:r>
    </w:p>
    <w:p>
      <w:pPr>
        <w:pStyle w:val="BodyText"/>
      </w:pPr>
      <w:r>
        <w:t xml:space="preserve">Were your expected results achieved?</w:t>
      </w:r>
    </w:p>
    <w:p>
      <w:pPr>
        <w:pStyle w:val="BodyText"/>
      </w:pPr>
      <w:r>
        <w:rPr>
          <w:b/>
          <w:bCs/>
        </w:rPr>
        <w:t xml:space="preserve">1 · Not yet</w:t>
      </w:r>
      <w:r>
        <w:rPr>
          <w:b/>
          <w:bCs/>
        </w:rPr>
        <w:t xml:space="preserve">2 · Partly</w:t>
      </w:r>
      <w:r>
        <w:rPr>
          <w:b/>
          <w:bCs/>
        </w:rPr>
        <w:t xml:space="preserve">3 · Met</w:t>
      </w:r>
      <w:r>
        <w:rPr>
          <w:b/>
          <w:bCs/>
        </w:rPr>
        <w:t xml:space="preserve">4 · Exceeded</w:t>
      </w:r>
    </w:p>
    <w:p>
      <w:pPr>
        <w:pStyle w:val="BodyText"/>
      </w:pPr>
      <w:r>
        <w:t xml:space="preserve">Which topics still need review?</w:t>
      </w:r>
    </w:p>
    <w:p>
      <w:pPr>
        <w:pStyle w:val="BodyText"/>
      </w:pPr>
      <w:r>
        <w:t xml:space="preserve">Select only the areas that should appear in your recommendation.</w:t>
      </w:r>
    </w:p>
    <w:p>
      <w:pPr>
        <w:pStyle w:val="BodyText"/>
      </w:pPr>
      <w:r>
        <w:t xml:space="preserve">Primary directional groups</w:t>
      </w:r>
    </w:p>
    <w:p>
      <w:pPr>
        <w:pStyle w:val="BodyText"/>
      </w:pPr>
      <w:r>
        <w:t xml:space="preserve">Primary routes and internal branches</w:t>
      </w:r>
    </w:p>
    <w:p>
      <w:pPr>
        <w:pStyle w:val="BodyText"/>
      </w:pPr>
      <w:r>
        <w:t xml:space="preserve">Divergent Channels</w:t>
      </w:r>
    </w:p>
    <w:p>
      <w:pPr>
        <w:pStyle w:val="BodyText"/>
      </w:pPr>
      <w:r>
        <w:t xml:space="preserve">Luo-Connecting Channels</w:t>
      </w:r>
    </w:p>
    <w:p>
      <w:pPr>
        <w:pStyle w:val="BodyText"/>
      </w:pPr>
      <w:r>
        <w:t xml:space="preserve">Sinew Channels</w:t>
      </w:r>
    </w:p>
    <w:p>
      <w:pPr>
        <w:pStyle w:val="BodyText"/>
      </w:pPr>
      <w:r>
        <w:t xml:space="preserve">Extraordinary Vessels</w:t>
      </w:r>
    </w:p>
    <w:p>
      <w:pPr>
        <w:pStyle w:val="BodyText"/>
      </w:pPr>
      <w:r>
        <w:t xml:space="preserve">Anatomical regions</w:t>
      </w:r>
    </w:p>
    <w:p>
      <w:pPr>
        <w:pStyle w:val="BodyText"/>
      </w:pPr>
      <w:r>
        <w:t xml:space="preserve">Internal connections and action words</w:t>
      </w:r>
    </w:p>
    <w:p>
      <w:pPr>
        <w:pStyle w:val="BodyText"/>
      </w:pPr>
      <w:r>
        <w:t xml:space="preserve">Convergence landmarks</w:t>
      </w:r>
    </w:p>
    <w:p>
      <w:pPr>
        <w:pStyle w:val="BodyText"/>
      </w:pPr>
      <w:r>
        <w:t xml:space="preserve">Image identification and look-alikes</w:t>
      </w:r>
    </w:p>
    <w:p>
      <w:pPr>
        <w:pStyle w:val="BodyText"/>
      </w:pPr>
      <w:r>
        <w:t xml:space="preserve">What helped you most?</w:t>
      </w:r>
    </w:p>
    <w:p>
      <w:pPr>
        <w:pStyle w:val="BodyText"/>
      </w:pPr>
      <w:r>
        <w:t xml:space="preserve">What will you do next?</w:t>
      </w:r>
    </w:p>
    <w:p>
      <w:pPr>
        <w:pStyle w:val="BodyText"/>
      </w:pPr>
      <w:r>
        <w:t xml:space="preserve">Responses save automatically in this browser.</w:t>
      </w:r>
    </w:p>
    <w:p>
      <w:pPr>
        <w:pStyle w:val="BodyText"/>
      </w:pPr>
      <w:r>
        <w:t xml:space="preserve">Generate My Study Reflection</w:t>
      </w:r>
    </w:p>
    <w:bookmarkStart w:id="72" w:name="study-reflection-result"/>
    <w:p>
      <w:pPr>
        <w:pStyle w:val="BodyText"/>
      </w:pPr>
      <w:r>
        <w:t xml:space="preserve">YOUR BEFORE–AFTER REVIEW</w:t>
      </w:r>
    </w:p>
    <w:bookmarkStart w:id="66" w:name="study-reflection-result-title"/>
    <w:p>
      <w:pPr>
        <w:pStyle w:val="Heading3"/>
      </w:pPr>
      <w:r>
        <w:t xml:space="preserve">Study reflection and recommendations</w:t>
      </w:r>
    </w:p>
    <w:bookmarkEnd w:id="66"/>
    <w:p>
      <w:pPr>
        <w:pStyle w:val="FirstParagraph"/>
      </w:pPr>
      <w:bookmarkStart w:id="67" w:name="reflection-level"/>
      <w:r>
        <w:t xml:space="preserve">Reflection ready</w:t>
      </w:r>
      <w:bookmarkEnd w:id="67"/>
    </w:p>
    <w:p>
      <w:pPr>
        <w:pStyle w:val="BodyText"/>
      </w:pPr>
      <w:r>
        <w:rPr>
          <w:b/>
          <w:bCs/>
        </w:rPr>
        <w:t xml:space="preserve">—</w:t>
      </w:r>
      <w:r>
        <w:t xml:space="preserve">Confidence change</w:t>
      </w:r>
    </w:p>
    <w:p>
      <w:pPr>
        <w:pStyle w:val="BodyText"/>
      </w:pPr>
      <w:r>
        <w:rPr>
          <w:b/>
          <w:bCs/>
        </w:rPr>
        <w:t xml:space="preserve">—</w:t>
      </w:r>
      <w:r>
        <w:t xml:space="preserve">Automatic practice exam results</w:t>
      </w:r>
    </w:p>
    <w:p>
      <w:pPr>
        <w:pStyle w:val="BodyText"/>
      </w:pPr>
      <w:r>
        <w:rPr>
          <w:b/>
          <w:bCs/>
        </w:rPr>
        <w:t xml:space="preserve">—</w:t>
      </w:r>
      <w:r>
        <w:t xml:space="preserve">Study depth</w:t>
      </w:r>
    </w:p>
    <w:p>
      <w:pPr>
        <w:pStyle w:val="BodyText"/>
      </w:pPr>
      <w:r>
        <w:rPr>
          <w:b/>
          <w:bCs/>
        </w:rPr>
        <w:t xml:space="preserve">—</w:t>
      </w:r>
      <w:r>
        <w:t xml:space="preserve">Course usefulness</w:t>
      </w:r>
    </w:p>
    <w:p>
      <w:pPr>
        <w:pStyle w:val="BodyText"/>
      </w:pPr>
      <w:r>
        <w:rPr>
          <w:b/>
          <w:bCs/>
        </w:rPr>
        <w:t xml:space="preserve">—</w:t>
      </w:r>
      <w:r>
        <w:t xml:space="preserve">Review need</w:t>
      </w:r>
    </w:p>
    <w:bookmarkStart w:id="68" w:name="your-original-learning-priorities"/>
    <w:p>
      <w:pPr>
        <w:pStyle w:val="Heading4"/>
      </w:pPr>
      <w:r>
        <w:t xml:space="preserve">Your original learning priorities</w:t>
      </w:r>
    </w:p>
    <w:bookmarkEnd w:id="68"/>
    <w:bookmarkStart w:id="69" w:name="topics-to-review-next"/>
    <w:p>
      <w:pPr>
        <w:pStyle w:val="Heading4"/>
      </w:pPr>
      <w:r>
        <w:t xml:space="preserve">Topics to review next</w:t>
      </w:r>
    </w:p>
    <w:bookmarkEnd w:id="69"/>
    <w:bookmarkStart w:id="70" w:name="personalized-recommendations"/>
    <w:p>
      <w:pPr>
        <w:pStyle w:val="Heading4"/>
      </w:pPr>
      <w:r>
        <w:t xml:space="preserve">Personalized recommendations</w:t>
      </w:r>
    </w:p>
    <w:bookmarkEnd w:id="70"/>
    <w:bookmarkStart w:id="71" w:name="your-stated-plan"/>
    <w:p>
      <w:pPr>
        <w:pStyle w:val="Heading4"/>
      </w:pPr>
      <w:r>
        <w:t xml:space="preserve">Your stated plan</w:t>
      </w:r>
    </w:p>
    <w:bookmarkEnd w:id="71"/>
    <w:p>
      <w:pPr>
        <w:pStyle w:val="FirstParagraph"/>
      </w:pPr>
      <w:r>
        <w:t xml:space="preserve">This is a guided self-assessment, not an exam score. Confirm perceived readiness with the related practice questions and the mandatory Continuing Education examination when applicable.</w:t>
      </w:r>
    </w:p>
    <w:bookmarkEnd w:id="72"/>
    <w:bookmarkEnd w:id="73"/>
    <w:bookmarkEnd w:id="74"/>
    <w:bookmarkEnd w:id="75"/>
    <w:bookmarkEnd w:id="76"/>
    <w:sectPr>
      <w:type w:val="nextPage"/>
      <w:pgSz w:h="16838" w:w="11906"/>
      <w:pgMar w:bottom="936" w:footer="0" w:gutter="0" w:header="0" w:left="936" w:right="936" w:top="936"/>
      <w:pgNumType w:fmt="decimal"/>
      <w:formProt w:val="false"/>
      <w:textDirection w:val="lrTb"/>
      <w:docGrid w:charSpace="38911" w:linePitch="6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Georgia">
    <w:altName w:val="serif"/>
    <w:charset w:val="01"/>
    <w:family w:val="auto"/>
    <w:pitch w:val="default"/>
  </w:font>
  <w:font w:name="Symbol">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suff w:val="nothing"/>
      <w:lvlText w:val="%1"/>
      <w:lvlJc w:val="start"/>
      <w:pPr>
        <w:tabs>
          <w:tab w:pos="0" w:val="num"/>
        </w:tabs>
        <w:ind w:hanging="0" w:start="0"/>
      </w:pPr>
    </w:lvl>
    <w:lvl w:ilvl="1">
      <w:start w:val="1"/>
      <w:numFmt w:val="none"/>
      <w:suff w:val="nothing"/>
      <w:lvlText w:val="%2"/>
      <w:lvlJc w:val="start"/>
      <w:pPr>
        <w:tabs>
          <w:tab w:pos="0" w:val="num"/>
        </w:tabs>
        <w:ind w:hanging="0" w:start="0"/>
      </w:pPr>
    </w:lvl>
    <w:lvl w:ilvl="2">
      <w:start w:val="1"/>
      <w:numFmt w:val="none"/>
      <w:suff w:val="nothing"/>
      <w:lvlText w:val="%3"/>
      <w:lvlJc w:val="start"/>
      <w:pPr>
        <w:tabs>
          <w:tab w:pos="0" w:val="num"/>
        </w:tabs>
        <w:ind w:hanging="0" w:start="0"/>
      </w:pPr>
    </w:lvl>
    <w:lvl w:ilvl="3">
      <w:start w:val="1"/>
      <w:numFmt w:val="none"/>
      <w:suff w:val="nothing"/>
      <w:lvlText w:val="%4"/>
      <w:lvlJc w:val="start"/>
      <w:pPr>
        <w:tabs>
          <w:tab w:pos="0" w:val="num"/>
        </w:tabs>
        <w:ind w:hanging="0" w:start="0"/>
      </w:pPr>
    </w:lvl>
    <w:lvl w:ilvl="4">
      <w:start w:val="1"/>
      <w:numFmt w:val="none"/>
      <w:suff w:val="nothing"/>
      <w:lvlText w:val="%5"/>
      <w:lvlJc w:val="start"/>
      <w:pPr>
        <w:tabs>
          <w:tab w:pos="0" w:val="num"/>
        </w:tabs>
        <w:ind w:hanging="0" w:start="0"/>
      </w:pPr>
    </w:lvl>
    <w:lvl w:ilvl="5">
      <w:start w:val="1"/>
      <w:numFmt w:val="none"/>
      <w:suff w:val="nothing"/>
      <w:lvlText w:val="%6"/>
      <w:lvlJc w:val="start"/>
      <w:pPr>
        <w:tabs>
          <w:tab w:pos="0" w:val="num"/>
        </w:tabs>
        <w:ind w:hanging="0" w:start="0"/>
      </w:pPr>
    </w:lvl>
    <w:lvl w:ilvl="6">
      <w:start w:val="1"/>
      <w:numFmt w:val="none"/>
      <w:suff w:val="nothing"/>
      <w:lvlText w:val="%7"/>
      <w:lvlJc w:val="start"/>
      <w:pPr>
        <w:tabs>
          <w:tab w:pos="0" w:val="num"/>
        </w:tabs>
        <w:ind w:hanging="0" w:start="0"/>
      </w:pPr>
    </w:lvl>
    <w:lvl w:ilvl="7">
      <w:start w:val="1"/>
      <w:numFmt w:val="none"/>
      <w:suff w:val="nothing"/>
      <w:lvlText w:val="%8"/>
      <w:lvlJc w:val="start"/>
      <w:pPr>
        <w:tabs>
          <w:tab w:pos="0" w:val="num"/>
        </w:tabs>
        <w:ind w:hanging="0" w:start="0"/>
      </w:pPr>
    </w:lvl>
    <w:lvl w:ilvl="8">
      <w:start w:val="1"/>
      <w:numFmt w:val="none"/>
      <w:suff w:val="nothing"/>
      <w:lvlText w:val="%9"/>
      <w:lvlJc w:val="start"/>
      <w:pPr>
        <w:tabs>
          <w:tab w:pos="0" w:val="num"/>
        </w:tabs>
        <w:ind w:hanging="0" w:start="0"/>
      </w:pPr>
    </w:lvl>
  </w:abstractNum>
  <w:abstractNum w:abstractNumId="2">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
    <w:lvl w:ilvl="0">
      <w:start w:val="1"/>
      <w:numFmt w:val="decimal"/>
      <w:lvlText w:val="%1."/>
      <w:lvlJc w:val="start"/>
      <w:pPr>
        <w:tabs>
          <w:tab w:pos="709" w:val="num"/>
        </w:tabs>
        <w:ind w:hanging="283" w:start="709"/>
      </w:pPr>
      <w:rPr/>
    </w:lvl>
    <w:lvl w:ilvl="1">
      <w:start w:val="1"/>
      <w:numFmt w:val="decimal"/>
      <w:lvlText w:val="%2."/>
      <w:lvlJc w:val="start"/>
      <w:pPr>
        <w:tabs>
          <w:tab w:pos="1418" w:val="num"/>
        </w:tabs>
        <w:ind w:hanging="283" w:start="1418"/>
      </w:pPr>
      <w:rPr/>
    </w:lvl>
    <w:lvl w:ilvl="2">
      <w:start w:val="1"/>
      <w:numFmt w:val="decimal"/>
      <w:lvlText w:val="%3."/>
      <w:lvlJc w:val="start"/>
      <w:pPr>
        <w:tabs>
          <w:tab w:pos="2127" w:val="num"/>
        </w:tabs>
        <w:ind w:hanging="283" w:start="2127"/>
      </w:pPr>
      <w:rPr/>
    </w:lvl>
    <w:lvl w:ilvl="3">
      <w:start w:val="1"/>
      <w:numFmt w:val="decimal"/>
      <w:lvlText w:val="%4."/>
      <w:lvlJc w:val="start"/>
      <w:pPr>
        <w:tabs>
          <w:tab w:pos="2836" w:val="num"/>
        </w:tabs>
        <w:ind w:hanging="283" w:start="2836"/>
      </w:pPr>
      <w:rPr/>
    </w:lvl>
    <w:lvl w:ilvl="4">
      <w:start w:val="1"/>
      <w:numFmt w:val="decimal"/>
      <w:lvlText w:val="%5."/>
      <w:lvlJc w:val="start"/>
      <w:pPr>
        <w:tabs>
          <w:tab w:pos="3545" w:val="num"/>
        </w:tabs>
        <w:ind w:hanging="283" w:start="3545"/>
      </w:pPr>
      <w:rPr/>
    </w:lvl>
    <w:lvl w:ilvl="5">
      <w:start w:val="1"/>
      <w:numFmt w:val="decimal"/>
      <w:lvlText w:val="%6."/>
      <w:lvlJc w:val="start"/>
      <w:pPr>
        <w:tabs>
          <w:tab w:pos="4254" w:val="num"/>
        </w:tabs>
        <w:ind w:hanging="283" w:start="4254"/>
      </w:pPr>
      <w:rPr/>
    </w:lvl>
    <w:lvl w:ilvl="6">
      <w:start w:val="1"/>
      <w:numFmt w:val="decimal"/>
      <w:lvlText w:val="%7."/>
      <w:lvlJc w:val="start"/>
      <w:pPr>
        <w:tabs>
          <w:tab w:pos="4963" w:val="num"/>
        </w:tabs>
        <w:ind w:hanging="283" w:start="4963"/>
      </w:pPr>
      <w:rPr/>
    </w:lvl>
    <w:lvl w:ilvl="7">
      <w:start w:val="1"/>
      <w:numFmt w:val="decimal"/>
      <w:lvlText w:val="%8."/>
      <w:lvlJc w:val="start"/>
      <w:pPr>
        <w:tabs>
          <w:tab w:pos="5672" w:val="num"/>
        </w:tabs>
        <w:ind w:hanging="283" w:start="5672"/>
      </w:pPr>
      <w:rPr/>
    </w:lvl>
    <w:lvl w:ilvl="8">
      <w:start w:val="1"/>
      <w:numFmt w:val="decimal"/>
      <w:lvlText w:val="%9."/>
      <w:lvlJc w:val="start"/>
      <w:pPr>
        <w:tabs>
          <w:tab w:pos="6381" w:val="num"/>
        </w:tabs>
        <w:ind w:hanging="283" w:start="6381"/>
      </w:pPr>
      <w:rPr/>
    </w:lvl>
  </w:abstractNum>
  <w:abstractNum w:abstractNumId="1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2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3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4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5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6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7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8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5">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6">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7">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8">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9">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0">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1">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2">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3">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104">
    <w:lvl w:ilvl="0">
      <w:start w:val="1"/>
      <w:numFmt w:val="bullet"/>
      <w:lvlText w:val=""/>
      <w:lvlJc w:val="start"/>
      <w:pPr>
        <w:tabs>
          <w:tab w:pos="709" w:val="num"/>
        </w:tabs>
        <w:ind w:hanging="283" w:start="709"/>
      </w:pPr>
      <w:rPr>
        <w:rFonts w:ascii="Symbol" w:cs="Symbol" w:hAnsi="Symbol" w:hint="default"/>
      </w:rPr>
    </w:lvl>
    <w:lvl w:ilvl="1">
      <w:start w:val="1"/>
      <w:numFmt w:val="bullet"/>
      <w:lvlText w:val=""/>
      <w:lvlJc w:val="start"/>
      <w:pPr>
        <w:tabs>
          <w:tab w:pos="1418" w:val="num"/>
        </w:tabs>
        <w:ind w:hanging="283" w:start="1418"/>
      </w:pPr>
      <w:rPr>
        <w:rFonts w:ascii="Symbol" w:cs="Symbol" w:hAnsi="Symbol" w:hint="default"/>
      </w:rPr>
    </w:lvl>
    <w:lvl w:ilvl="2">
      <w:start w:val="1"/>
      <w:numFmt w:val="bullet"/>
      <w:lvlText w:val=""/>
      <w:lvlJc w:val="start"/>
      <w:pPr>
        <w:tabs>
          <w:tab w:pos="2127" w:val="num"/>
        </w:tabs>
        <w:ind w:hanging="283" w:start="2127"/>
      </w:pPr>
      <w:rPr>
        <w:rFonts w:ascii="Symbol" w:cs="Symbol" w:hAnsi="Symbol" w:hint="default"/>
      </w:rPr>
    </w:lvl>
    <w:lvl w:ilvl="3">
      <w:start w:val="1"/>
      <w:numFmt w:val="bullet"/>
      <w:lvlText w:val=""/>
      <w:lvlJc w:val="start"/>
      <w:pPr>
        <w:tabs>
          <w:tab w:pos="2836" w:val="num"/>
        </w:tabs>
        <w:ind w:hanging="283" w:start="2836"/>
      </w:pPr>
      <w:rPr>
        <w:rFonts w:ascii="Symbol" w:cs="Symbol" w:hAnsi="Symbol" w:hint="default"/>
      </w:rPr>
    </w:lvl>
    <w:lvl w:ilvl="4">
      <w:start w:val="1"/>
      <w:numFmt w:val="bullet"/>
      <w:lvlText w:val=""/>
      <w:lvlJc w:val="start"/>
      <w:pPr>
        <w:tabs>
          <w:tab w:pos="3545" w:val="num"/>
        </w:tabs>
        <w:ind w:hanging="283" w:start="3545"/>
      </w:pPr>
      <w:rPr>
        <w:rFonts w:ascii="Symbol" w:cs="Symbol" w:hAnsi="Symbol" w:hint="default"/>
      </w:rPr>
    </w:lvl>
    <w:lvl w:ilvl="5">
      <w:start w:val="1"/>
      <w:numFmt w:val="bullet"/>
      <w:lvlText w:val=""/>
      <w:lvlJc w:val="start"/>
      <w:pPr>
        <w:tabs>
          <w:tab w:pos="4254" w:val="num"/>
        </w:tabs>
        <w:ind w:hanging="283" w:start="4254"/>
      </w:pPr>
      <w:rPr>
        <w:rFonts w:ascii="Symbol" w:cs="Symbol" w:hAnsi="Symbol" w:hint="default"/>
      </w:rPr>
    </w:lvl>
    <w:lvl w:ilvl="6">
      <w:start w:val="1"/>
      <w:numFmt w:val="bullet"/>
      <w:lvlText w:val=""/>
      <w:lvlJc w:val="start"/>
      <w:pPr>
        <w:tabs>
          <w:tab w:pos="4963" w:val="num"/>
        </w:tabs>
        <w:ind w:hanging="283" w:start="4963"/>
      </w:pPr>
      <w:rPr>
        <w:rFonts w:ascii="Symbol" w:cs="Symbol" w:hAnsi="Symbol" w:hint="default"/>
      </w:rPr>
    </w:lvl>
    <w:lvl w:ilvl="7">
      <w:start w:val="1"/>
      <w:numFmt w:val="bullet"/>
      <w:lvlText w:val=""/>
      <w:lvlJc w:val="start"/>
      <w:pPr>
        <w:tabs>
          <w:tab w:pos="5672" w:val="num"/>
        </w:tabs>
        <w:ind w:hanging="283" w:start="5672"/>
      </w:pPr>
      <w:rPr>
        <w:rFonts w:ascii="Symbol" w:cs="Symbol" w:hAnsi="Symbol" w:hint="default"/>
      </w:rPr>
    </w:lvl>
    <w:lvl w:ilvl="8">
      <w:start w:val="1"/>
      <w:numFmt w:val="bullet"/>
      <w:lvlText w:val=""/>
      <w:lvlJc w:val="start"/>
      <w:pPr>
        <w:tabs>
          <w:tab w:pos="6381" w:val="num"/>
        </w:tabs>
        <w:ind w:hanging="283" w:start="6381"/>
      </w:pPr>
      <w:rPr>
        <w:rFonts w:ascii="Symbol" w:cs="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5">
    <w:nsid w:val="00A99205"/>
    <w:multiLevelType w:val="multilevel"/>
    <w:lvl w:ilvl="0">
      <w:start w:val="5"/>
      <w:numFmt w:val="decimal"/>
      <w:lvlText w:val="%1."/>
      <w:lvlJc w:val="left"/>
      <w:pPr>
        <w:ind w:left="720" w:hanging="480"/>
      </w:pPr>
    </w:lvl>
    <w:lvl w:ilvl="1">
      <w:start w:val="5"/>
      <w:numFmt w:val="lowerLetter"/>
      <w:lvlText w:val="%2."/>
      <w:lvlJc w:val="left"/>
      <w:pPr>
        <w:ind w:left="1440" w:hanging="480"/>
      </w:pPr>
    </w:lvl>
    <w:lvl w:ilvl="2">
      <w:start w:val="5"/>
      <w:numFmt w:val="lowerRoman"/>
      <w:lvlText w:val="%3."/>
      <w:lvlJc w:val="left"/>
      <w:pPr>
        <w:ind w:left="2160" w:hanging="480"/>
      </w:pPr>
    </w:lvl>
    <w:lvl w:ilvl="3">
      <w:start w:val="5"/>
      <w:numFmt w:val="decimal"/>
      <w:lvlText w:val="%4."/>
      <w:lvlJc w:val="left"/>
      <w:pPr>
        <w:ind w:left="2880" w:hanging="480"/>
      </w:pPr>
    </w:lvl>
    <w:lvl w:ilvl="4">
      <w:start w:val="5"/>
      <w:numFmt w:val="lowerLetter"/>
      <w:lvlText w:val="%5."/>
      <w:lvlJc w:val="left"/>
      <w:pPr>
        <w:ind w:left="3600" w:hanging="480"/>
      </w:pPr>
    </w:lvl>
    <w:lvl w:ilvl="5">
      <w:start w:val="5"/>
      <w:numFmt w:val="lowerRoman"/>
      <w:lvlText w:val="%6."/>
      <w:lvlJc w:val="left"/>
      <w:pPr>
        <w:ind w:left="4320" w:hanging="480"/>
      </w:pPr>
    </w:lvl>
    <w:lvl w:ilvl="6">
      <w:start w:val="5"/>
      <w:numFmt w:val="decimal"/>
      <w:lvlText w:val="%7."/>
      <w:lvlJc w:val="left"/>
      <w:pPr>
        <w:ind w:left="5040" w:hanging="480"/>
      </w:pPr>
    </w:lvl>
    <w:lvl w:ilvl="7">
      <w:start w:val="5"/>
      <w:numFmt w:val="lowerLetter"/>
      <w:lvlText w:val="%8."/>
      <w:lvlJc w:val="left"/>
      <w:pPr>
        <w:ind w:left="5760" w:hanging="480"/>
      </w:pPr>
    </w:lvl>
    <w:lvl w:ilvl="8">
      <w:start w:val="5"/>
      <w:numFmt w:val="lowerRoman"/>
      <w:lvlText w:val="%9."/>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1134"/>
  <w:autoHyphenation w:val="true"/>
  <w:hyphenationZone w:val="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Noto Sans" w:eastAsia="Noto Serif CJK SC" w:hAnsi="Liberation Serif"/>
        <w:sz w:val="24"/>
        <w:szCs w:val="24"/>
        <w:lang w:bidi="hi-IN" w:eastAsia="zh-CN" w:val="en-US"/>
      </w:rPr>
    </w:rPrDefault>
    <w:pPrDefault>
      <w:pPr>
        <w:suppressAutoHyphens w:val="true"/>
      </w:pPr>
    </w:pPrDefault>
  </w:docDefaults>
  <w:style w:styleId="Normal" w:type="paragraph">
    <w:name w:val="Normal"/>
    <w:qFormat/>
    <w:pPr>
      <w:widowControl w:val="false"/>
      <w:kinsoku w:val="true"/>
      <w:overflowPunct w:val="true"/>
      <w:autoSpaceDE w:val="true"/>
      <w:bidi w:val="0"/>
      <w:spacing w:line="348" w:lineRule="auto"/>
    </w:pPr>
    <w:rPr>
      <w:rFonts w:ascii="Arial;sans-serif" w:cs="Arial;sans-serif" w:eastAsia="Arial;sans-serif" w:hAnsi="Arial;sans-serif"/>
      <w:color w:val="173247"/>
      <w:sz w:val="21"/>
      <w:szCs w:val="21"/>
      <w:lang w:bidi="hi-IN" w:eastAsia="zh-CN" w:val="en-US"/>
    </w:rPr>
  </w:style>
  <w:style w:styleId="Heading1" w:type="paragraph">
    <w:name w:val="heading 1"/>
    <w:basedOn w:val="Heading"/>
    <w:next w:val="BodyText"/>
    <w:qFormat/>
    <w:pPr>
      <w:keepNext w:val="true"/>
      <w:spacing w:after="80" w:before="200"/>
      <w:ind w:end="200" w:start="200"/>
    </w:pPr>
    <w:rPr>
      <w:b/>
      <w:bCs/>
      <w:color w:val="0A7474"/>
      <w:sz w:val="52"/>
      <w:szCs w:val="52"/>
    </w:rPr>
  </w:style>
  <w:style w:styleId="Heading2" w:type="paragraph">
    <w:name w:val="heading 2"/>
    <w:basedOn w:val="Heading"/>
    <w:next w:val="BodyText"/>
    <w:qFormat/>
    <w:pPr>
      <w:keepNext w:val="true"/>
      <w:numPr>
        <w:ilvl w:val="0"/>
        <w:numId w:val="0"/>
      </w:numPr>
      <w:pBdr>
        <w:bottom w:color="EADFF3" w:space="5" w:sz="12" w:val="single"/>
      </w:pBdr>
      <w:spacing w:after="120" w:before="440"/>
      <w:outlineLvl w:val="1"/>
    </w:pPr>
    <w:rPr>
      <w:rFonts w:ascii="Liberation Serif" w:cs="Noto Sans" w:eastAsia="Noto Serif CJK SC" w:hAnsi="Liberation Serif"/>
      <w:b/>
      <w:bCs/>
      <w:color w:val="68408F"/>
      <w:sz w:val="34"/>
      <w:szCs w:val="34"/>
    </w:rPr>
  </w:style>
  <w:style w:styleId="Heading3" w:type="paragraph">
    <w:name w:val="heading 3"/>
    <w:basedOn w:val="Heading"/>
    <w:next w:val="BodyText"/>
    <w:qFormat/>
    <w:pPr>
      <w:keepNext w:val="true"/>
      <w:numPr>
        <w:ilvl w:val="0"/>
        <w:numId w:val="0"/>
      </w:numPr>
      <w:spacing w:after="80" w:before="280"/>
      <w:ind w:end="280" w:start="280"/>
      <w:outlineLvl w:val="2"/>
    </w:pPr>
    <w:rPr>
      <w:rFonts w:ascii="Liberation Serif" w:cs="Noto Sans" w:eastAsia="Noto Serif CJK SC" w:hAnsi="Liberation Serif"/>
      <w:b/>
      <w:bCs/>
      <w:color w:val="0A7474"/>
      <w:sz w:val="24"/>
      <w:szCs w:val="24"/>
    </w:rPr>
  </w:style>
  <w:style w:styleId="EndnoteReference" w:type="character">
    <w:name w:val="endnote reference"/>
    <w:rPr>
      <w:vertAlign w:val="superscript"/>
    </w:rPr>
  </w:style>
  <w:style w:styleId="FootnoteReference" w:type="character">
    <w:name w:val="footnote reference"/>
    <w:rPr>
      <w:vertAlign w:val="superscript"/>
    </w:rPr>
  </w:style>
  <w:style w:styleId="EndnoteCharacters" w:type="character">
    <w:name w:val="Endnote Characters"/>
    <w:qFormat/>
    <w:rPr/>
  </w:style>
  <w:style w:styleId="FootnoteCharacters" w:type="character">
    <w:name w:val="Footnote Characters"/>
    <w:qFormat/>
    <w:rPr/>
  </w:style>
  <w:style w:styleId="Hyperlink" w:type="character">
    <w:name w:val="Hyperlink"/>
    <w:rPr>
      <w:color w:val="000080"/>
      <w:u w:val="single"/>
    </w:rPr>
  </w:style>
  <w:style w:styleId="Strong" w:type="character">
    <w:name w:val="Strong"/>
    <w:qFormat/>
    <w:rPr>
      <w:b/>
      <w:bCs/>
    </w:rPr>
  </w:style>
  <w:style w:styleId="NumberingSymbols" w:type="character">
    <w:name w:val="Numbering Symbols"/>
    <w:qFormat/>
    <w:rPr/>
  </w:style>
  <w:style w:styleId="Bullets" w:type="character">
    <w:name w:val="Bullets"/>
    <w:qFormat/>
    <w:rPr>
      <w:rFonts w:ascii="OpenSymbol" w:cs="OpenSymbol" w:eastAsia="OpenSymbol" w:hAnsi="OpenSymbol"/>
    </w:rPr>
  </w:style>
  <w:style w:styleId="Emphasis" w:type="character">
    <w:name w:val="Emphasis"/>
    <w:qFormat/>
    <w:rPr>
      <w:i/>
      <w:iCs/>
    </w:rPr>
  </w:style>
  <w:style w:styleId="HorizontalLine" w:type="paragraph">
    <w:name w:val="Horizontal Line"/>
    <w:basedOn w:val="Normal"/>
    <w:next w:val="BodyText"/>
    <w:qFormat/>
    <w:pPr>
      <w:pBdr>
        <w:bottom w:color="808080" w:space="0" w:sz="2" w:val="double"/>
      </w:pBdr>
      <w:spacing w:after="283" w:before="0"/>
    </w:pPr>
    <w:rPr>
      <w:sz w:val="12"/>
    </w:rPr>
  </w:style>
  <w:style w:styleId="BodyText" w:type="paragraph">
    <w:name w:val="Body Text"/>
    <w:basedOn w:val="Normal"/>
    <w:pPr>
      <w:spacing w:after="160" w:before="100"/>
      <w:ind w:end="100" w:start="100"/>
    </w:pPr>
    <w:rPr/>
  </w:style>
  <w:style w:styleId="EnvelopeReturn" w:type="paragraph">
    <w:name w:val="envelope return"/>
    <w:basedOn w:val="Normal"/>
    <w:pPr/>
    <w:rPr>
      <w:i/>
    </w:rPr>
  </w:style>
  <w:style w:styleId="TableContents" w:type="paragraph">
    <w:name w:val="Table Contents"/>
    <w:basedOn w:val="BodyText"/>
    <w:qFormat/>
    <w:pPr/>
    <w:rPr/>
  </w:style>
  <w:style w:styleId="Heading" w:type="paragraph">
    <w:name w:val="Heading"/>
    <w:basedOn w:val="Normal"/>
    <w:next w:val="BodyText"/>
    <w:qFormat/>
    <w:pPr>
      <w:keepNext w:val="true"/>
      <w:spacing w:after="283" w:before="240"/>
    </w:pPr>
    <w:rPr>
      <w:rFonts w:ascii="Liberation Sans" w:hAnsi="Liberation Sans"/>
      <w:sz w:val="28"/>
      <w:szCs w:val="28"/>
    </w:rPr>
  </w:style>
  <w:style w:styleId="Index" w:type="paragraph">
    <w:name w:val="Index"/>
    <w:basedOn w:val="Normal"/>
    <w:qFormat/>
    <w:pPr>
      <w:suppressLineNumbers/>
    </w:pPr>
    <w:rPr>
      <w:rFonts w:cs="Noto Sans"/>
    </w:rPr>
  </w:style>
  <w:style w:styleId="Caption" w:type="paragraph">
    <w:name w:val="caption"/>
    <w:basedOn w:val="Normal"/>
    <w:qFormat/>
    <w:pPr>
      <w:suppressLineNumbers/>
      <w:spacing w:after="120" w:before="120"/>
    </w:pPr>
    <w:rPr>
      <w:rFonts w:cs="Noto Sans"/>
      <w:i/>
      <w:iCs/>
      <w:sz w:val="24"/>
      <w:szCs w:val="24"/>
    </w:rPr>
  </w:style>
  <w:style w:styleId="List" w:type="paragraph">
    <w:name w:val="List"/>
    <w:basedOn w:val="BodyText"/>
    <w:pPr/>
    <w:rPr>
      <w:rFonts w:cs="Noto Sans"/>
    </w:rPr>
  </w:style>
  <w:style w:styleId="BodyTextsmall" w:type="paragraph">
    <w:name w:val="Body Text.small"/>
    <w:basedOn w:val="BodyText"/>
    <w:qFormat/>
    <w:pPr/>
    <w:rPr>
      <w:color w:val="5B6D78"/>
      <w:sz w:val="18"/>
      <w:szCs w:val="18"/>
    </w:rPr>
  </w:style>
  <w:style w:styleId="TableHeading" w:type="paragraph">
    <w:name w:val="Table Heading"/>
    <w:basedOn w:val="TableContents"/>
    <w:qFormat/>
    <w:pPr>
      <w:suppressLineNumbers/>
      <w:jc w:val="start"/>
    </w:pPr>
    <w:rPr>
      <w:b/>
      <w:bCs/>
      <w:color w:val="FFFFFF"/>
    </w:rPr>
  </w:style>
  <w:style w:styleId="Heading2page-break" w:type="paragraph">
    <w:name w:val="Heading 2.page-break"/>
    <w:basedOn w:val="Heading2"/>
    <w:qFormat/>
    <w:pPr>
      <w:pageBreakBefore/>
    </w:pPr>
    <w:rPr/>
  </w:style>
  <w:style w:styleId="BodyTextfooter-note" w:type="paragraph">
    <w:name w:val="Body Text.footer-note"/>
    <w:basedOn w:val="BodyText"/>
    <w:qFormat/>
    <w:pPr>
      <w:spacing w:after="160" w:before="400"/>
      <w:jc w:val="center"/>
    </w:pPr>
    <w:rPr>
      <w:color w:val="687984"/>
      <w:sz w:val="17"/>
      <w:szCs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8" Target="https://www.acupuncturetests.com/mod/scorm/view.php?id=1114" TargetMode="External" /><Relationship Type="http://schemas.openxmlformats.org/officeDocument/2006/relationships/hyperlink" Id="rId37" Target="https://www.acupuncturetests.com/mod/scorm/view.php?id=1213" TargetMode="External" /><Relationship Type="http://schemas.openxmlformats.org/officeDocument/2006/relationships/hyperlink" Id="rId41" Target="https://www.acupuncturetests.com/mod/scorm/view.php?id=5366" TargetMode="External" /><Relationship Type="http://schemas.openxmlformats.org/officeDocument/2006/relationships/hyperlink" Id="rId39" Target="https://www.acupuncturetests.com/mod/scorm/view.php?id=619" TargetMode="External" /><Relationship Type="http://schemas.openxmlformats.org/officeDocument/2006/relationships/hyperlink" Id="rId40" Target="https://www.acupuncturetests.com/mod/scorm/view.php?id=835" TargetMode="External" /><Relationship Type="http://schemas.openxmlformats.org/officeDocument/2006/relationships/hyperlink" Id="rId26" Target="https://www.acupuncturetests.com/mod/scorm/view.php?id=9366" TargetMode="External" /><Relationship Type="http://schemas.openxmlformats.org/officeDocument/2006/relationships/hyperlink" Id="rId31" Target="https://www.acupuncturetests.com/mod/scorm/view.php?id=9367" TargetMode="External" /><Relationship Type="http://schemas.openxmlformats.org/officeDocument/2006/relationships/hyperlink" Id="rId24" Target="https://www.acupuncturetests.com/mod/scorm/view.php?id=9368" TargetMode="External" /><Relationship Type="http://schemas.openxmlformats.org/officeDocument/2006/relationships/hyperlink" Id="rId29" Target="https://www.acupuncturetests.com/mod/scorm/view.php?id=9369" TargetMode="External" /><Relationship Type="http://schemas.openxmlformats.org/officeDocument/2006/relationships/hyperlink" Id="rId27" Target="https://www.acupuncturetests.com/mod/scorm/view.php?id=9370" TargetMode="External" /><Relationship Type="http://schemas.openxmlformats.org/officeDocument/2006/relationships/hyperlink" Id="rId25" Target="https://www.acupuncturetests.com/mod/scorm/view.php?id=9371" TargetMode="External" /><Relationship Type="http://schemas.openxmlformats.org/officeDocument/2006/relationships/hyperlink" Id="rId28" Target="https://www.acupuncturetests.com/mod/scorm/view.php?id=9372" TargetMode="External" /><Relationship Type="http://schemas.openxmlformats.org/officeDocument/2006/relationships/hyperlink" Id="rId30" Target="https://www.acupuncturetests.com/mod/scorm/view.php?id=9373" TargetMode="External" /><Relationship Type="http://schemas.openxmlformats.org/officeDocument/2006/relationships/hyperlink" Id="rId33" Target="https://www.acupuncturetests.com/mod/scorm/view.php?id=9375" TargetMode="External" /><Relationship Type="http://schemas.openxmlformats.org/officeDocument/2006/relationships/hyperlink" Id="rId34" Target="https://www.acupuncturetests.com/mod/scorm/view.php?id=9377" TargetMode="External" /><Relationship Type="http://schemas.openxmlformats.org/officeDocument/2006/relationships/hyperlink" Id="rId32" Target="https://www.acupuncturetests.com/mod/scorm/view.php?id=9378" TargetMode="External" /><Relationship Type="http://schemas.openxmlformats.org/officeDocument/2006/relationships/hyperlink" Id="rId35" Target="https://www.acupuncturetests.com/mod/scorm/view.php?id=9379" TargetMode="External" /></Relationships>
</file>

<file path=word/_rels/footnotes.xml.rels><?xml version="1.0" encoding="UTF-8"?><Relationships xmlns="http://schemas.openxmlformats.org/package/2006/relationships"><Relationship Type="http://schemas.openxmlformats.org/officeDocument/2006/relationships/hyperlink" Id="rId38" Target="https://www.acupuncturetests.com/mod/scorm/view.php?id=1114" TargetMode="External" /><Relationship Type="http://schemas.openxmlformats.org/officeDocument/2006/relationships/hyperlink" Id="rId37" Target="https://www.acupuncturetests.com/mod/scorm/view.php?id=1213" TargetMode="External" /><Relationship Type="http://schemas.openxmlformats.org/officeDocument/2006/relationships/hyperlink" Id="rId41" Target="https://www.acupuncturetests.com/mod/scorm/view.php?id=5366" TargetMode="External" /><Relationship Type="http://schemas.openxmlformats.org/officeDocument/2006/relationships/hyperlink" Id="rId39" Target="https://www.acupuncturetests.com/mod/scorm/view.php?id=619" TargetMode="External" /><Relationship Type="http://schemas.openxmlformats.org/officeDocument/2006/relationships/hyperlink" Id="rId40" Target="https://www.acupuncturetests.com/mod/scorm/view.php?id=835" TargetMode="External" /><Relationship Type="http://schemas.openxmlformats.org/officeDocument/2006/relationships/hyperlink" Id="rId26" Target="https://www.acupuncturetests.com/mod/scorm/view.php?id=9366" TargetMode="External" /><Relationship Type="http://schemas.openxmlformats.org/officeDocument/2006/relationships/hyperlink" Id="rId31" Target="https://www.acupuncturetests.com/mod/scorm/view.php?id=9367" TargetMode="External" /><Relationship Type="http://schemas.openxmlformats.org/officeDocument/2006/relationships/hyperlink" Id="rId24" Target="https://www.acupuncturetests.com/mod/scorm/view.php?id=9368" TargetMode="External" /><Relationship Type="http://schemas.openxmlformats.org/officeDocument/2006/relationships/hyperlink" Id="rId29" Target="https://www.acupuncturetests.com/mod/scorm/view.php?id=9369" TargetMode="External" /><Relationship Type="http://schemas.openxmlformats.org/officeDocument/2006/relationships/hyperlink" Id="rId27" Target="https://www.acupuncturetests.com/mod/scorm/view.php?id=9370" TargetMode="External" /><Relationship Type="http://schemas.openxmlformats.org/officeDocument/2006/relationships/hyperlink" Id="rId25" Target="https://www.acupuncturetests.com/mod/scorm/view.php?id=9371" TargetMode="External" /><Relationship Type="http://schemas.openxmlformats.org/officeDocument/2006/relationships/hyperlink" Id="rId28" Target="https://www.acupuncturetests.com/mod/scorm/view.php?id=9372" TargetMode="External" /><Relationship Type="http://schemas.openxmlformats.org/officeDocument/2006/relationships/hyperlink" Id="rId30" Target="https://www.acupuncturetests.com/mod/scorm/view.php?id=9373" TargetMode="External" /><Relationship Type="http://schemas.openxmlformats.org/officeDocument/2006/relationships/hyperlink" Id="rId33" Target="https://www.acupuncturetests.com/mod/scorm/view.php?id=9375" TargetMode="External" /><Relationship Type="http://schemas.openxmlformats.org/officeDocument/2006/relationships/hyperlink" Id="rId34" Target="https://www.acupuncturetests.com/mod/scorm/view.php?id=9377" TargetMode="External" /><Relationship Type="http://schemas.openxmlformats.org/officeDocument/2006/relationships/hyperlink" Id="rId32" Target="https://www.acupuncturetests.com/mod/scorm/view.php?id=9378" TargetMode="External" /><Relationship Type="http://schemas.openxmlformats.org/officeDocument/2006/relationships/hyperlink" Id="rId35" Target="https://www.acupuncturetests.com/mod/scorm/view.php?id=9379"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ages>10</Pages>
  <Words>5828</Words>
  <Characters>31684</Characters>
  <CharactersWithSpaces>36214</CharactersWithSpaces>
  <Paragraphs>848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Channel Pathways — Part 5: Exams, Evaluation and Bibliography</dc:title>
  <dc:creator/>
  <cp:keywords/>
  <dcterms:created xsi:type="dcterms:W3CDTF">2026-10-23T16:41:47Z</dcterms:created>
  <dcterms:modified xsi:type="dcterms:W3CDTF">2026-10-23T16:41:47Z</dcterms:modified>
</cp:coreProperties>
</file>

<file path=docProps/custom.xml><?xml version="1.0" encoding="utf-8"?>
<Properties xmlns="http://schemas.openxmlformats.org/officeDocument/2006/custom-properties" xmlns:vt="http://schemas.openxmlformats.org/officeDocument/2006/docPropsVTypes"/>
</file>