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2AE99">
      <w:pPr>
        <w:snapToGrid w:val="0"/>
        <w:jc w:val="center"/>
        <w:rPr>
          <w:rFonts w:hint="default" w:ascii="宋体" w:hAnsi="宋体" w:eastAsia="宋体" w:cs="宋体"/>
          <w:color w:val="auto"/>
          <w:sz w:val="32"/>
          <w:szCs w:val="32"/>
          <w:highlight w:val="none"/>
          <w:lang w:val="en-US" w:eastAsia="zh-CN" w:bidi="ar-SA"/>
        </w:rPr>
      </w:pPr>
      <w:bookmarkStart w:id="0" w:name="_Toc247527532"/>
      <w:bookmarkStart w:id="1" w:name="_Toc300834926"/>
      <w:bookmarkStart w:id="2" w:name="_Toc144974478"/>
      <w:bookmarkStart w:id="3" w:name="_Toc152042286"/>
      <w:r>
        <w:rPr>
          <w:rFonts w:hint="eastAsia" w:ascii="宋体" w:hAnsi="宋体" w:eastAsia="宋体" w:cs="宋体"/>
          <w:color w:val="auto"/>
          <w:sz w:val="32"/>
          <w:szCs w:val="32"/>
          <w:highlight w:val="none"/>
          <w:lang w:val="en-US" w:eastAsia="zh-CN" w:bidi="ar-SA"/>
        </w:rPr>
        <w:t>第0章 封皮</w:t>
      </w:r>
    </w:p>
    <w:p w14:paraId="369BC958">
      <w:pPr>
        <w:snapToGrid w:val="0"/>
        <w:rPr>
          <w:rFonts w:hint="eastAsia" w:ascii="宋体" w:hAnsi="宋体" w:cs="宋体"/>
          <w:color w:val="auto"/>
          <w:sz w:val="72"/>
          <w:szCs w:val="72"/>
          <w:highlight w:val="none"/>
          <w:lang w:bidi="ar"/>
        </w:rPr>
      </w:pPr>
      <w:r>
        <w:rPr>
          <w:rFonts w:hint="eastAsia" w:ascii="宋体" w:hAnsi="宋体" w:cs="宋体"/>
          <w:color w:val="auto"/>
          <w:sz w:val="72"/>
          <w:szCs w:val="72"/>
          <w:highlight w:val="none"/>
          <w:lang w:bidi="ar"/>
        </w:rPr>
        <w:drawing>
          <wp:inline distT="0" distB="0" distL="114300" distR="114300">
            <wp:extent cx="1409700" cy="969010"/>
            <wp:effectExtent l="0" t="0" r="12700" b="21590"/>
            <wp:docPr id="1" name="图片 1" descr="说明: 中节能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中节能LOGO"/>
                    <pic:cNvPicPr>
                      <a:picLocks noChangeAspect="1"/>
                    </pic:cNvPicPr>
                  </pic:nvPicPr>
                  <pic:blipFill>
                    <a:blip r:embed="rId18"/>
                    <a:stretch>
                      <a:fillRect/>
                    </a:stretch>
                  </pic:blipFill>
                  <pic:spPr>
                    <a:xfrm>
                      <a:off x="0" y="0"/>
                      <a:ext cx="1409700" cy="969010"/>
                    </a:xfrm>
                    <a:prstGeom prst="rect">
                      <a:avLst/>
                    </a:prstGeom>
                    <a:noFill/>
                    <a:ln>
                      <a:noFill/>
                    </a:ln>
                  </pic:spPr>
                </pic:pic>
              </a:graphicData>
            </a:graphic>
          </wp:inline>
        </w:drawing>
      </w:r>
      <w:bookmarkStart w:id="207" w:name="_GoBack"/>
      <w:bookmarkEnd w:id="207"/>
    </w:p>
    <w:p w14:paraId="0706BF97">
      <w:pPr>
        <w:pStyle w:val="103"/>
        <w:ind w:firstLine="420"/>
        <w:rPr>
          <w:rFonts w:hint="eastAsia" w:ascii="宋体" w:hAnsi="宋体" w:eastAsia="宋体" w:cs="宋体"/>
          <w:color w:val="auto"/>
          <w:highlight w:val="none"/>
        </w:rPr>
      </w:pPr>
    </w:p>
    <w:p w14:paraId="5DFA76CB">
      <w:pPr>
        <w:snapToGrid w:val="0"/>
        <w:jc w:val="center"/>
        <w:rPr>
          <w:rFonts w:hint="eastAsia" w:ascii="宋体" w:hAnsi="宋体" w:cs="宋体"/>
          <w:b/>
          <w:color w:val="auto"/>
          <w:sz w:val="84"/>
          <w:szCs w:val="84"/>
          <w:highlight w:val="none"/>
        </w:rPr>
      </w:pPr>
      <w:r>
        <w:rPr>
          <w:rFonts w:hint="eastAsia" w:ascii="宋体" w:hAnsi="宋体" w:cs="宋体"/>
          <w:b/>
          <w:color w:val="auto"/>
          <w:sz w:val="84"/>
          <w:szCs w:val="84"/>
          <w:highlight w:val="none"/>
          <w:lang w:bidi="ar"/>
        </w:rPr>
        <w:t>招 标 文 件</w:t>
      </w:r>
    </w:p>
    <w:p w14:paraId="5C0C07B4">
      <w:pPr>
        <w:snapToGrid w:val="0"/>
        <w:jc w:val="center"/>
        <w:rPr>
          <w:rFonts w:hint="eastAsia" w:ascii="宋体" w:hAnsi="宋体" w:cs="宋体"/>
          <w:b/>
          <w:color w:val="auto"/>
          <w:sz w:val="36"/>
          <w:szCs w:val="36"/>
          <w:highlight w:val="none"/>
        </w:rPr>
      </w:pPr>
    </w:p>
    <w:p w14:paraId="36C50C65">
      <w:pPr>
        <w:snapToGrid w:val="0"/>
        <w:jc w:val="center"/>
        <w:rPr>
          <w:rFonts w:hint="eastAsia" w:ascii="宋体" w:hAnsi="宋体" w:cs="宋体"/>
          <w:b/>
          <w:color w:val="auto"/>
          <w:sz w:val="36"/>
          <w:szCs w:val="36"/>
          <w:highlight w:val="none"/>
        </w:rPr>
      </w:pPr>
      <w:r>
        <w:rPr>
          <w:rFonts w:hint="eastAsia" w:ascii="宋体" w:hAnsi="宋体" w:cs="宋体"/>
          <w:b/>
          <w:color w:val="auto"/>
          <w:sz w:val="36"/>
          <w:szCs w:val="36"/>
          <w:highlight w:val="none"/>
        </w:rPr>
        <w:t>（商务册）</w:t>
      </w:r>
    </w:p>
    <w:p w14:paraId="714D1D91">
      <w:pPr>
        <w:rPr>
          <w:rFonts w:hint="eastAsia" w:ascii="宋体" w:hAnsi="宋体" w:cs="宋体"/>
          <w:b/>
          <w:color w:val="auto"/>
          <w:sz w:val="36"/>
          <w:szCs w:val="36"/>
          <w:highlight w:val="none"/>
          <w:lang w:bidi="ar"/>
        </w:rPr>
      </w:pPr>
    </w:p>
    <w:p w14:paraId="047BE4F6">
      <w:pPr>
        <w:snapToGrid w:val="0"/>
        <w:spacing w:line="480" w:lineRule="auto"/>
        <w:rPr>
          <w:rFonts w:hint="default" w:ascii="宋体" w:hAnsi="宋体" w:cs="宋体"/>
          <w:b/>
          <w:color w:val="auto"/>
          <w:sz w:val="30"/>
          <w:szCs w:val="30"/>
          <w:highlight w:val="none"/>
          <w:lang w:val="en-US" w:bidi="ar"/>
        </w:rPr>
      </w:pPr>
      <w:r>
        <w:t>项目编号：123456</w:t>
      </w:r>
    </w:p>
    <w:p w14:paraId="65DFED0E">
      <w:pPr>
        <w:pStyle w:val="3"/>
        <w:spacing w:line="480" w:lineRule="auto"/>
        <w:rPr>
          <w:rFonts w:hint="eastAsia" w:ascii="宋体" w:hAnsi="宋体" w:eastAsia="宋体" w:cs="宋体"/>
          <w:color w:val="auto"/>
          <w:highlight w:val="none"/>
        </w:rPr>
      </w:pPr>
    </w:p>
    <w:p w14:paraId="6CF6477D">
      <w:pPr>
        <w:spacing w:line="480" w:lineRule="auto"/>
        <w:rPr>
          <w:rFonts w:hint="default" w:ascii="宋体" w:hAnsi="宋体" w:eastAsia="宋体" w:cs="宋体"/>
          <w:b/>
          <w:color w:val="auto"/>
          <w:sz w:val="30"/>
          <w:szCs w:val="30"/>
          <w:highlight w:val="none"/>
          <w:lang w:val="en-US" w:eastAsia="zh-CN" w:bidi="ar"/>
        </w:rPr>
      </w:pPr>
      <w:r>
        <w:t>项目名称：海绵宝宝空调采购（A标段）</w:t>
      </w:r>
    </w:p>
    <w:p w14:paraId="2375D853">
      <w:pPr>
        <w:snapToGrid w:val="0"/>
        <w:rPr>
          <w:rFonts w:hint="eastAsia" w:ascii="宋体" w:hAnsi="宋体" w:eastAsia="宋体" w:cs="宋体"/>
          <w:color w:val="auto"/>
          <w:highlight w:val="none"/>
        </w:rPr>
      </w:pPr>
    </w:p>
    <w:p w14:paraId="5915C3FF">
      <w:pPr>
        <w:snapToGrid w:val="0"/>
        <w:spacing w:line="480" w:lineRule="auto"/>
        <w:rPr>
          <w:rFonts w:hint="default" w:ascii="宋体" w:hAnsi="宋体" w:cs="宋体"/>
          <w:b/>
          <w:color w:val="auto"/>
          <w:sz w:val="30"/>
          <w:szCs w:val="30"/>
          <w:highlight w:val="none"/>
          <w:lang w:val="en-US" w:bidi="ar"/>
        </w:rPr>
      </w:pPr>
      <w:r>
        <w:t>采购组织人：中国节能集团</w:t>
      </w:r>
    </w:p>
    <w:p w14:paraId="78546244">
      <w:pPr>
        <w:pStyle w:val="103"/>
        <w:rPr>
          <w:rFonts w:hint="eastAsia" w:ascii="宋体" w:hAnsi="宋体" w:cs="宋体"/>
          <w:b/>
          <w:color w:val="auto"/>
          <w:sz w:val="30"/>
          <w:szCs w:val="30"/>
          <w:highlight w:val="none"/>
          <w:lang w:bidi="ar"/>
        </w:rPr>
      </w:pPr>
    </w:p>
    <w:p w14:paraId="67618959">
      <w:pPr>
        <w:keepNext w:val="0"/>
        <w:keepLines w:val="0"/>
        <w:widowControl/>
        <w:suppressLineNumbers w:val="0"/>
        <w:shd w:val="clear" w:color="auto" w:fill="auto"/>
        <w:snapToGrid w:val="0"/>
        <w:spacing w:before="0" w:beforeAutospacing="0" w:after="0" w:afterAutospacing="0" w:line="480" w:lineRule="auto"/>
        <w:ind w:left="0" w:right="0"/>
        <w:jc w:val="left"/>
        <w:textAlignment w:val="auto"/>
        <w:rPr>
          <w:rFonts w:hint="default" w:ascii="宋体" w:hAnsi="宋体" w:eastAsia="宋体" w:cs="宋体"/>
          <w:b/>
          <w:color w:val="auto"/>
          <w:sz w:val="30"/>
          <w:szCs w:val="30"/>
          <w:highlight w:val="none"/>
          <w:lang w:val="en-US" w:bidi="ar"/>
        </w:rPr>
      </w:pPr>
      <w:r>
        <w:t>采购需求人：供应链公司</w:t>
      </w:r>
    </w:p>
    <w:p w14:paraId="7E8C75F3">
      <w:pPr>
        <w:pStyle w:val="103"/>
        <w:ind w:firstLine="0" w:firstLineChars="0"/>
        <w:rPr>
          <w:rFonts w:hint="eastAsia" w:ascii="宋体" w:hAnsi="宋体" w:cs="宋体"/>
          <w:b/>
          <w:color w:val="auto"/>
          <w:sz w:val="30"/>
          <w:szCs w:val="30"/>
          <w:highlight w:val="none"/>
          <w:lang w:bidi="ar"/>
        </w:rPr>
      </w:pPr>
    </w:p>
    <w:p w14:paraId="3BAB37A8">
      <w:pPr>
        <w:snapToGrid w:val="0"/>
        <w:spacing w:line="480" w:lineRule="auto"/>
        <w:rPr>
          <w:rFonts w:hint="eastAsia" w:ascii="宋体" w:hAnsi="宋体" w:eastAsia="宋体" w:cs="宋体"/>
          <w:b/>
          <w:color w:val="auto"/>
          <w:sz w:val="30"/>
          <w:szCs w:val="30"/>
          <w:highlight w:val="none"/>
          <w:lang w:eastAsia="zh-CN" w:bidi="ar"/>
        </w:rPr>
      </w:pPr>
      <w:r>
        <w:rPr>
          <w:rFonts w:hint="eastAsia" w:ascii="宋体" w:hAnsi="宋体" w:cs="宋体"/>
          <w:b/>
          <w:color w:val="auto"/>
          <w:sz w:val="30"/>
          <w:szCs w:val="30"/>
          <w:highlight w:val="none"/>
          <w:lang w:bidi="ar"/>
        </w:rPr>
        <w:t>采购代理机构：</w:t>
      </w:r>
      <w:r>
        <w:rPr>
          <w:rFonts w:hint="eastAsia" w:ascii="宋体" w:hAnsi="宋体" w:cs="宋体"/>
          <w:b/>
          <w:color w:val="auto"/>
          <w:sz w:val="30"/>
          <w:szCs w:val="30"/>
          <w:highlight w:val="none"/>
          <w:lang w:eastAsia="zh-CN" w:bidi="ar"/>
        </w:rPr>
        <w:t>中国节能环保集团有限公司绿色供应链管理服务分公司</w:t>
      </w:r>
    </w:p>
    <w:p w14:paraId="4E12C4A3">
      <w:pPr>
        <w:snapToGrid w:val="0"/>
        <w:spacing w:line="480" w:lineRule="auto"/>
        <w:jc w:val="center"/>
        <w:rPr>
          <w:rFonts w:hint="eastAsia" w:ascii="宋体" w:hAnsi="宋体" w:cs="宋体"/>
          <w:b/>
          <w:color w:val="auto"/>
          <w:sz w:val="30"/>
          <w:szCs w:val="30"/>
          <w:highlight w:val="none"/>
          <w:lang w:bidi="ar"/>
        </w:rPr>
      </w:pPr>
      <w:r>
        <w:t>2025年4月</w:t>
      </w:r>
    </w:p>
    <w:p w14:paraId="04D0B60F">
      <w:pPr>
        <w:jc w:val="center"/>
        <w:rPr>
          <w:rFonts w:hint="eastAsia" w:ascii="宋体" w:hAnsi="宋体" w:cs="宋体"/>
          <w:b/>
          <w:color w:val="auto"/>
          <w:sz w:val="32"/>
          <w:szCs w:val="32"/>
          <w:highlight w:val="none"/>
        </w:rPr>
        <w:sectPr>
          <w:headerReference r:id="rId5" w:type="default"/>
          <w:footerReference r:id="rId6" w:type="default"/>
          <w:pgSz w:w="11906" w:h="16838"/>
          <w:pgMar w:top="1134" w:right="1134" w:bottom="1134" w:left="1134" w:header="851" w:footer="992" w:gutter="0"/>
          <w:pgNumType w:fmt="decimal" w:start="1"/>
          <w:cols w:space="720" w:num="1"/>
          <w:docGrid w:linePitch="312" w:charSpace="0"/>
        </w:sectPr>
      </w:pPr>
    </w:p>
    <w:bookmarkEnd w:id="0"/>
    <w:bookmarkEnd w:id="1"/>
    <w:bookmarkEnd w:id="2"/>
    <w:bookmarkEnd w:id="3"/>
    <w:p w14:paraId="3A8839C2">
      <w:pPr>
        <w:spacing w:line="240" w:lineRule="auto"/>
        <w:jc w:val="center"/>
        <w:rPr>
          <w:rFonts w:hint="eastAsia" w:ascii="宋体" w:hAnsi="宋体" w:cs="宋体"/>
          <w:b/>
          <w:bCs/>
          <w:color w:val="auto"/>
          <w:highlight w:val="none"/>
        </w:rPr>
      </w:pPr>
      <w:bookmarkStart w:id="4" w:name="_Toc513811941"/>
      <w:bookmarkStart w:id="5" w:name="_Toc247513932"/>
      <w:bookmarkStart w:id="6" w:name="_Toc247527533"/>
      <w:r>
        <w:rPr>
          <w:rFonts w:hint="eastAsia" w:ascii="宋体" w:hAnsi="宋体" w:cs="宋体"/>
          <w:b/>
          <w:bCs/>
          <w:color w:val="auto"/>
          <w:highlight w:val="none"/>
        </w:rPr>
        <w:t>目  录</w:t>
      </w:r>
    </w:p>
    <w:p w14:paraId="5D0CEA7C">
      <w:pPr>
        <w:pStyle w:val="103"/>
        <w:ind w:firstLine="420"/>
        <w:rPr>
          <w:rFonts w:hint="eastAsia" w:ascii="宋体" w:hAnsi="宋体" w:eastAsia="宋体" w:cs="宋体"/>
          <w:color w:val="auto"/>
          <w:highlight w:val="none"/>
        </w:rPr>
      </w:pPr>
    </w:p>
    <w:p w14:paraId="10DF6DBA">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 w:val="21"/>
          <w:szCs w:val="21"/>
          <w:highlight w:val="none"/>
        </w:rPr>
        <w:fldChar w:fldCharType="begin"/>
      </w:r>
      <w:r>
        <w:rPr>
          <w:rFonts w:hint="eastAsia" w:ascii="宋体" w:hAnsi="宋体" w:eastAsia="宋体" w:cs="宋体"/>
          <w:color w:val="auto"/>
          <w:sz w:val="21"/>
          <w:szCs w:val="21"/>
          <w:highlight w:val="none"/>
        </w:rPr>
        <w:instrText xml:space="preserve">TOC \o "1-1" \h \u </w:instrText>
      </w:r>
      <w:r>
        <w:rPr>
          <w:rFonts w:hint="eastAsia" w:ascii="宋体" w:hAnsi="宋体" w:eastAsia="宋体" w:cs="宋体"/>
          <w:color w:val="auto"/>
          <w:sz w:val="21"/>
          <w:szCs w:val="21"/>
          <w:highlight w:val="none"/>
        </w:rPr>
        <w:fldChar w:fldCharType="separate"/>
      </w:r>
    </w:p>
    <w:p w14:paraId="4B3FCAC1">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_Toc4881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highlight w:val="none"/>
        </w:rPr>
        <w:t xml:space="preserve">第一章  </w:t>
      </w:r>
      <w:r>
        <w:rPr>
          <w:rFonts w:hint="eastAsia" w:ascii="宋体" w:hAnsi="宋体" w:eastAsia="宋体" w:cs="宋体"/>
          <w:color w:val="auto"/>
          <w:highlight w:val="yellow"/>
        </w:rPr>
        <w:t>招标公告</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_Toc4881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5</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7B7D8FAC">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_Toc4250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highlight w:val="none"/>
        </w:rPr>
        <w:t>第二章  投标人须知</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_Toc4250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11</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22218FD1">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_Toc11459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highlight w:val="none"/>
        </w:rPr>
        <w:t>第三章  评标办法（综合评估法）</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_Toc11459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27</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7ECC66C8">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_Toc11112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highlight w:val="none"/>
        </w:rPr>
        <w:t>第四章  合同条款及格式</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_Toc11112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33</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218DBD15">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_Toc26581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highlight w:val="none"/>
        </w:rPr>
        <w:t xml:space="preserve">第五章  </w:t>
      </w:r>
      <w:r>
        <w:rPr>
          <w:rFonts w:hint="eastAsia" w:ascii="宋体" w:hAnsi="宋体" w:eastAsia="宋体" w:cs="宋体"/>
          <w:color w:val="auto"/>
          <w:highlight w:val="yellow"/>
        </w:rPr>
        <w:t>发包人要求</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_Toc26581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34</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657C84DE">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_Toc3178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szCs w:val="32"/>
          <w:highlight w:val="none"/>
        </w:rPr>
        <w:t>第六章  发包人提供的资料</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_Toc3178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37</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7CB071A4">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_Toc1119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szCs w:val="32"/>
          <w:highlight w:val="none"/>
        </w:rPr>
        <w:t>第七章  投标文件格式</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_Toc1119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38</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24C3AFE6">
      <w:pPr>
        <w:rPr>
          <w:rFonts w:hint="eastAsia" w:ascii="宋体" w:hAnsi="宋体" w:cs="宋体"/>
          <w:color w:val="auto"/>
          <w:highlight w:val="none"/>
        </w:rPr>
      </w:pPr>
      <w:r>
        <w:rPr>
          <w:rFonts w:hint="eastAsia" w:ascii="宋体" w:hAnsi="宋体" w:cs="宋体"/>
          <w:color w:val="auto"/>
          <w:szCs w:val="21"/>
          <w:highlight w:val="none"/>
        </w:rPr>
        <w:fldChar w:fldCharType="end"/>
      </w:r>
    </w:p>
    <w:p w14:paraId="1E71CE1D">
      <w:pPr>
        <w:rPr>
          <w:rFonts w:hint="eastAsia" w:ascii="宋体" w:hAnsi="宋体" w:cs="宋体"/>
          <w:color w:val="auto"/>
          <w:highlight w:val="none"/>
        </w:rPr>
      </w:pPr>
    </w:p>
    <w:p w14:paraId="27626CBA">
      <w:pPr>
        <w:rPr>
          <w:rFonts w:hint="eastAsia" w:ascii="宋体" w:hAnsi="宋体" w:cs="宋体"/>
          <w:color w:val="auto"/>
          <w:highlight w:val="none"/>
        </w:rPr>
      </w:pPr>
    </w:p>
    <w:p w14:paraId="55A81D44">
      <w:pPr>
        <w:rPr>
          <w:rFonts w:hint="eastAsia" w:ascii="宋体" w:hAnsi="宋体" w:cs="宋体"/>
          <w:color w:val="auto"/>
          <w:highlight w:val="none"/>
        </w:rPr>
      </w:pPr>
    </w:p>
    <w:p w14:paraId="3C50E745">
      <w:pPr>
        <w:rPr>
          <w:rFonts w:hint="eastAsia" w:ascii="宋体" w:hAnsi="宋体" w:cs="宋体"/>
          <w:color w:val="auto"/>
          <w:highlight w:val="none"/>
        </w:rPr>
      </w:pPr>
    </w:p>
    <w:p w14:paraId="5A475C41">
      <w:pPr>
        <w:tabs>
          <w:tab w:val="left" w:pos="2290"/>
        </w:tabs>
        <w:jc w:val="left"/>
        <w:rPr>
          <w:rFonts w:hint="eastAsia" w:ascii="宋体" w:hAnsi="宋体" w:cs="宋体"/>
          <w:color w:val="auto"/>
          <w:highlight w:val="none"/>
        </w:rPr>
        <w:sectPr>
          <w:headerReference r:id="rId7" w:type="default"/>
          <w:footerReference r:id="rId8" w:type="default"/>
          <w:pgSz w:w="11906" w:h="16838"/>
          <w:pgMar w:top="1134" w:right="1134" w:bottom="1134" w:left="1134" w:header="851" w:footer="992" w:gutter="0"/>
          <w:pgNumType w:fmt="decimal" w:start="1"/>
          <w:cols w:space="720" w:num="1"/>
          <w:docGrid w:linePitch="312" w:charSpace="0"/>
        </w:sectPr>
      </w:pPr>
      <w:r>
        <w:rPr>
          <w:rFonts w:hint="eastAsia" w:ascii="宋体" w:hAnsi="宋体" w:cs="宋体"/>
          <w:color w:val="auto"/>
          <w:highlight w:val="none"/>
        </w:rPr>
        <w:tab/>
      </w:r>
    </w:p>
    <w:p w14:paraId="2E2BB0DB">
      <w:pPr>
        <w:pStyle w:val="4"/>
        <w:numPr>
          <w:numId w:val="0"/>
        </w:numPr>
        <w:ind w:left="-425" w:leftChars="0"/>
        <w:jc w:val="center"/>
        <w:rPr>
          <w:rFonts w:hint="eastAsia" w:ascii="宋体" w:hAnsi="宋体" w:eastAsia="宋体" w:cs="宋体"/>
          <w:color w:val="auto"/>
          <w:highlight w:val="none"/>
        </w:rPr>
      </w:pPr>
      <w:bookmarkStart w:id="7" w:name="_Toc26825"/>
      <w:bookmarkStart w:id="8" w:name="_Toc16355"/>
      <w:bookmarkStart w:id="9" w:name="_Toc20174"/>
      <w:bookmarkStart w:id="10" w:name="_Toc17313"/>
      <w:bookmarkStart w:id="11" w:name="_Toc30349"/>
      <w:bookmarkStart w:id="12" w:name="_Toc89711807"/>
      <w:bookmarkStart w:id="13" w:name="_Toc27991"/>
      <w:r>
        <w:rPr>
          <w:rFonts w:hint="eastAsia" w:ascii="宋体" w:hAnsi="宋体" w:eastAsia="宋体" w:cs="宋体"/>
          <w:color w:val="auto"/>
          <w:highlight w:val="none"/>
        </w:rPr>
        <w:t>特别提示</w:t>
      </w:r>
      <w:bookmarkEnd w:id="4"/>
      <w:bookmarkEnd w:id="7"/>
      <w:bookmarkEnd w:id="8"/>
      <w:bookmarkEnd w:id="9"/>
      <w:bookmarkEnd w:id="10"/>
      <w:bookmarkEnd w:id="11"/>
      <w:bookmarkEnd w:id="12"/>
      <w:bookmarkEnd w:id="13"/>
    </w:p>
    <w:p w14:paraId="002634E1">
      <w:pPr>
        <w:rPr>
          <w:rFonts w:hint="eastAsia" w:ascii="宋体" w:hAnsi="宋体" w:cs="宋体"/>
          <w:color w:val="auto"/>
          <w:highlight w:val="none"/>
        </w:rPr>
      </w:pPr>
    </w:p>
    <w:p w14:paraId="43606F0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根据以往项目投标情况，发现有投标人由于不仔细阅读招标文件的原因造成废标或综合得分减分，我方觉得甚为遗憾，因此作出以下特别提示：</w:t>
      </w:r>
    </w:p>
    <w:p w14:paraId="4FA58C73">
      <w:pPr>
        <w:numPr>
          <w:ilvl w:val="0"/>
          <w:numId w:val="3"/>
        </w:numPr>
        <w:rPr>
          <w:rFonts w:hint="eastAsia" w:ascii="宋体" w:hAnsi="宋体" w:cs="宋体"/>
          <w:color w:val="auto"/>
          <w:szCs w:val="21"/>
          <w:highlight w:val="none"/>
        </w:rPr>
      </w:pPr>
      <w:r>
        <w:rPr>
          <w:rFonts w:hint="eastAsia" w:ascii="宋体" w:hAnsi="宋体" w:cs="宋体"/>
          <w:color w:val="auto"/>
          <w:szCs w:val="21"/>
          <w:highlight w:val="none"/>
        </w:rPr>
        <w:t>投标文件编制时，须严格按照招标文件提示的格式编写。评标的依据为招标文件中的评标办法，请投标人严格仔细阅读。</w:t>
      </w:r>
    </w:p>
    <w:p w14:paraId="4A7FA8E3">
      <w:pPr>
        <w:numPr>
          <w:ilvl w:val="0"/>
          <w:numId w:val="3"/>
        </w:numPr>
        <w:rPr>
          <w:rFonts w:hint="eastAsia" w:ascii="宋体" w:hAnsi="宋体" w:cs="宋体"/>
          <w:b/>
          <w:bCs/>
          <w:color w:val="auto"/>
          <w:szCs w:val="21"/>
          <w:highlight w:val="none"/>
        </w:rPr>
      </w:pPr>
      <w:r>
        <w:rPr>
          <w:rFonts w:hint="eastAsia" w:ascii="宋体" w:hAnsi="宋体" w:cs="宋体"/>
          <w:b/>
          <w:bCs/>
          <w:color w:val="auto"/>
          <w:szCs w:val="21"/>
          <w:highlight w:val="none"/>
        </w:rPr>
        <w:t>报价表填制时，应严格按照招标文件提供的表单格式内容填制，不得改动具体的格式。</w:t>
      </w:r>
    </w:p>
    <w:p w14:paraId="22970033">
      <w:pPr>
        <w:numPr>
          <w:ilvl w:val="0"/>
          <w:numId w:val="3"/>
        </w:numPr>
        <w:rPr>
          <w:rFonts w:hint="eastAsia" w:ascii="宋体" w:hAnsi="宋体" w:cs="宋体"/>
          <w:color w:val="auto"/>
          <w:szCs w:val="21"/>
          <w:highlight w:val="none"/>
        </w:rPr>
      </w:pPr>
      <w:r>
        <w:rPr>
          <w:rFonts w:hint="eastAsia" w:ascii="宋体" w:hAnsi="宋体" w:cs="宋体"/>
          <w:color w:val="auto"/>
          <w:szCs w:val="21"/>
          <w:highlight w:val="none"/>
        </w:rPr>
        <w:t>投标人必须在招标人</w:t>
      </w:r>
      <w:r>
        <w:rPr>
          <w:rFonts w:hint="eastAsia" w:ascii="宋体" w:hAnsi="宋体" w:cs="宋体"/>
          <w:color w:val="auto"/>
          <w:szCs w:val="21"/>
          <w:highlight w:val="none"/>
          <w:lang w:val="en-US" w:eastAsia="zh-CN"/>
        </w:rPr>
        <w:t>通过公开招标方式确定的</w:t>
      </w:r>
      <w:r>
        <w:rPr>
          <w:rFonts w:hint="eastAsia" w:ascii="宋体" w:hAnsi="宋体" w:cs="宋体"/>
          <w:color w:val="auto"/>
          <w:szCs w:val="21"/>
          <w:highlight w:val="none"/>
        </w:rPr>
        <w:t>《</w:t>
      </w:r>
      <w:r>
        <w:rPr>
          <w:rFonts w:hint="eastAsia" w:ascii="宋体" w:hAnsi="宋体" w:cs="宋体"/>
          <w:color w:val="auto"/>
          <w:szCs w:val="21"/>
          <w:highlight w:val="yellow"/>
          <w:lang w:eastAsia="zh-CN"/>
        </w:rPr>
        <w:t>太阳能公司2023-2025 年度光伏设备类合格供应商备选库名单</w:t>
      </w:r>
      <w:r>
        <w:rPr>
          <w:rFonts w:hint="eastAsia" w:ascii="宋体" w:hAnsi="宋体" w:cs="宋体"/>
          <w:color w:val="auto"/>
          <w:szCs w:val="21"/>
          <w:highlight w:val="none"/>
        </w:rPr>
        <w:t>》（详见本招标文件附件A）中采购相应厂家的设备。</w:t>
      </w:r>
    </w:p>
    <w:p w14:paraId="2CBF1DA8">
      <w:pPr>
        <w:numPr>
          <w:ilvl w:val="0"/>
          <w:numId w:val="3"/>
        </w:numPr>
        <w:rPr>
          <w:rFonts w:hint="eastAsia" w:ascii="宋体" w:hAnsi="宋体" w:cs="宋体"/>
          <w:color w:val="auto"/>
          <w:szCs w:val="21"/>
          <w:highlight w:val="none"/>
        </w:rPr>
      </w:pPr>
      <w:r>
        <w:rPr>
          <w:rFonts w:hint="eastAsia" w:ascii="宋体" w:hAnsi="宋体" w:cs="宋体"/>
          <w:color w:val="auto"/>
          <w:szCs w:val="21"/>
          <w:highlight w:val="none"/>
        </w:rPr>
        <w:t>投标人需注意本次招标中在提供设备方案的同时，投标人须提供《</w:t>
      </w:r>
      <w:r>
        <w:rPr>
          <w:rFonts w:hint="eastAsia" w:ascii="宋体" w:hAnsi="宋体" w:cs="宋体"/>
          <w:color w:val="auto"/>
          <w:szCs w:val="21"/>
          <w:highlight w:val="none"/>
          <w:lang w:eastAsia="zh-CN"/>
        </w:rPr>
        <w:t>太阳能公司2023-2025 年度光伏设备类合格供应商备选库名单</w:t>
      </w:r>
      <w:r>
        <w:rPr>
          <w:rFonts w:hint="eastAsia" w:ascii="宋体" w:hAnsi="宋体" w:cs="宋体"/>
          <w:color w:val="auto"/>
          <w:szCs w:val="21"/>
          <w:highlight w:val="none"/>
        </w:rPr>
        <w:t>》中设备的采购方式，投标人采购部门的联系人及联系电话，且采购设备的技术协议须满足招标文件要求。</w:t>
      </w:r>
    </w:p>
    <w:p w14:paraId="7A3B2A69">
      <w:pPr>
        <w:numPr>
          <w:ilvl w:val="0"/>
          <w:numId w:val="3"/>
        </w:numPr>
        <w:rPr>
          <w:rFonts w:hint="eastAsia" w:ascii="宋体" w:hAnsi="宋体" w:cs="宋体"/>
          <w:color w:val="auto"/>
          <w:szCs w:val="21"/>
          <w:highlight w:val="none"/>
        </w:rPr>
      </w:pPr>
      <w:r>
        <w:rPr>
          <w:rFonts w:hint="eastAsia" w:ascii="宋体" w:hAnsi="宋体" w:cs="宋体"/>
          <w:color w:val="auto"/>
          <w:szCs w:val="21"/>
          <w:highlight w:val="none"/>
        </w:rPr>
        <w:t>招标文件（含附件）中“以上”、“以下”、“以内”、“届满”，包括本数，“不满”、“超过”、“以外”，不包括本数。</w:t>
      </w:r>
    </w:p>
    <w:p w14:paraId="337A0B95">
      <w:pPr>
        <w:pStyle w:val="21"/>
        <w:rPr>
          <w:rFonts w:hint="eastAsia" w:ascii="宋体" w:hAnsi="宋体" w:cs="宋体"/>
          <w:b/>
          <w:bCs/>
          <w:color w:val="auto"/>
          <w:highlight w:val="none"/>
        </w:rPr>
      </w:pPr>
      <w:r>
        <w:rPr>
          <w:rFonts w:hint="eastAsia" w:ascii="宋体" w:hAnsi="宋体" w:cs="宋体"/>
          <w:b/>
          <w:bCs/>
          <w:color w:val="auto"/>
          <w:highlight w:val="none"/>
        </w:rPr>
        <w:t>6.</w:t>
      </w:r>
      <w:r>
        <w:rPr>
          <w:rFonts w:hint="eastAsia" w:ascii="宋体" w:hAnsi="宋体" w:cs="宋体"/>
          <w:b/>
          <w:bCs/>
          <w:color w:val="auto"/>
          <w:highlight w:val="yellow"/>
        </w:rPr>
        <w:t>本次付款</w:t>
      </w:r>
      <w:r>
        <w:rPr>
          <w:rFonts w:hint="eastAsia" w:ascii="宋体" w:hAnsi="宋体" w:cs="宋体"/>
          <w:b/>
          <w:bCs/>
          <w:color w:val="auto"/>
          <w:highlight w:val="yellow"/>
          <w:lang w:val="en-US" w:eastAsia="zh-CN"/>
        </w:rPr>
        <w:t>条件</w:t>
      </w:r>
      <w:r>
        <w:rPr>
          <w:rFonts w:hint="eastAsia" w:ascii="宋体" w:hAnsi="宋体" w:cs="宋体"/>
          <w:b/>
          <w:bCs/>
          <w:color w:val="auto"/>
          <w:highlight w:val="yellow"/>
        </w:rPr>
        <w:t>为</w:t>
      </w:r>
      <w:r>
        <w:rPr>
          <w:rFonts w:hint="eastAsia"/>
          <w:b/>
          <w:bCs/>
          <w:color w:val="auto"/>
          <w:highlight w:val="yellow"/>
        </w:rPr>
        <w:t>工程顺利实现全装机容量并网</w:t>
      </w:r>
      <w:r>
        <w:rPr>
          <w:rFonts w:hint="eastAsia"/>
          <w:b/>
          <w:bCs/>
          <w:color w:val="auto"/>
          <w:highlight w:val="yellow"/>
          <w:lang w:eastAsia="zh-CN"/>
        </w:rPr>
        <w:t>，</w:t>
      </w:r>
      <w:r>
        <w:rPr>
          <w:rFonts w:hint="eastAsia"/>
          <w:b/>
          <w:bCs/>
          <w:color w:val="auto"/>
          <w:highlight w:val="yellow"/>
        </w:rPr>
        <w:t>付款到合同价格总额的8</w:t>
      </w:r>
      <w:r>
        <w:rPr>
          <w:rFonts w:hint="eastAsia"/>
          <w:b/>
          <w:bCs/>
          <w:color w:val="auto"/>
          <w:highlight w:val="yellow"/>
          <w:lang w:val="en-US" w:eastAsia="zh-CN"/>
        </w:rPr>
        <w:t>5</w:t>
      </w:r>
      <w:r>
        <w:rPr>
          <w:rFonts w:hint="eastAsia"/>
          <w:b/>
          <w:bCs/>
          <w:color w:val="auto"/>
          <w:highlight w:val="yellow"/>
        </w:rPr>
        <w:t>%</w:t>
      </w:r>
      <w:r>
        <w:rPr>
          <w:rFonts w:hint="eastAsia" w:ascii="宋体" w:hAnsi="宋体" w:cs="宋体"/>
          <w:b/>
          <w:bCs/>
          <w:color w:val="auto"/>
          <w:highlight w:val="yellow"/>
        </w:rPr>
        <w:t>，具体以招标文件第四章合同条款及格式中的规定为准</w:t>
      </w:r>
      <w:r>
        <w:rPr>
          <w:rFonts w:hint="eastAsia" w:ascii="宋体" w:hAnsi="宋体" w:cs="宋体"/>
          <w:b/>
          <w:bCs/>
          <w:color w:val="auto"/>
          <w:highlight w:val="none"/>
        </w:rPr>
        <w:t>。</w:t>
      </w:r>
    </w:p>
    <w:p w14:paraId="7206674C">
      <w:pPr>
        <w:pStyle w:val="21"/>
        <w:rPr>
          <w:rFonts w:hint="eastAsia" w:ascii="宋体" w:hAnsi="宋体" w:cs="宋体"/>
          <w:b/>
          <w:bCs/>
          <w:color w:val="auto"/>
          <w:highlight w:val="none"/>
        </w:rPr>
      </w:pPr>
      <w:bookmarkStart w:id="14" w:name="_Toc6471"/>
      <w:bookmarkStart w:id="15" w:name="_Toc11686"/>
      <w:bookmarkStart w:id="16" w:name="_Toc31803"/>
      <w:bookmarkStart w:id="17" w:name="_Toc14220"/>
      <w:r>
        <w:rPr>
          <w:rFonts w:hint="eastAsia" w:ascii="宋体" w:hAnsi="宋体" w:cs="宋体"/>
          <w:b/>
          <w:bCs/>
          <w:color w:val="auto"/>
          <w:highlight w:val="none"/>
        </w:rPr>
        <w:t>7.重要提示</w:t>
      </w:r>
      <w:bookmarkEnd w:id="14"/>
      <w:bookmarkEnd w:id="15"/>
      <w:bookmarkEnd w:id="16"/>
      <w:bookmarkEnd w:id="17"/>
      <w:bookmarkStart w:id="18" w:name="_Toc13533"/>
      <w:bookmarkStart w:id="19" w:name="_Toc23572"/>
      <w:bookmarkStart w:id="20" w:name="_Toc14898"/>
    </w:p>
    <w:p w14:paraId="4AF8BC92">
      <w:pPr>
        <w:numPr>
          <w:ilvl w:val="0"/>
          <w:numId w:val="4"/>
        </w:numPr>
        <w:ind w:left="420"/>
        <w:rPr>
          <w:rFonts w:hint="eastAsia" w:ascii="宋体" w:hAnsi="宋体" w:cs="宋体"/>
          <w:b/>
          <w:bCs/>
          <w:color w:val="auto"/>
          <w:szCs w:val="21"/>
          <w:highlight w:val="none"/>
        </w:rPr>
      </w:pPr>
      <w:r>
        <w:rPr>
          <w:rFonts w:hint="eastAsia" w:ascii="宋体" w:hAnsi="宋体" w:cs="宋体"/>
          <w:b/>
          <w:bCs/>
          <w:color w:val="auto"/>
          <w:szCs w:val="21"/>
          <w:highlight w:val="none"/>
        </w:rPr>
        <w:t>评标委员会依据招标文件“第三章  评标办法”对各投标人递交的投标文件进行初步评审。初步评审分为形式评审、资格评审及响应性评审三部分。投标文件中如有任何一项不符合初步评审标准的，评标委员会应当否决其投标。</w:t>
      </w:r>
      <w:bookmarkEnd w:id="18"/>
      <w:bookmarkEnd w:id="19"/>
      <w:bookmarkEnd w:id="20"/>
    </w:p>
    <w:p w14:paraId="76E43047">
      <w:pPr>
        <w:numPr>
          <w:ilvl w:val="0"/>
          <w:numId w:val="4"/>
        </w:numPr>
        <w:ind w:left="420"/>
        <w:rPr>
          <w:rFonts w:hint="eastAsia" w:ascii="宋体" w:hAnsi="宋体" w:cs="宋体"/>
          <w:b/>
          <w:bCs/>
          <w:color w:val="auto"/>
          <w:szCs w:val="21"/>
          <w:highlight w:val="none"/>
        </w:rPr>
      </w:pPr>
      <w:r>
        <w:rPr>
          <w:rFonts w:hint="eastAsia" w:ascii="宋体" w:hAnsi="宋体" w:cs="宋体"/>
          <w:b/>
          <w:bCs/>
          <w:color w:val="auto"/>
          <w:szCs w:val="21"/>
          <w:highlight w:val="none"/>
        </w:rPr>
        <w:t>初步评审全部通过的投标人方可进入下一阶段的详细评审（即报价评审、商务评审及技术评审）。</w:t>
      </w:r>
    </w:p>
    <w:p w14:paraId="4DF6993C">
      <w:pPr>
        <w:numPr>
          <w:ilvl w:val="0"/>
          <w:numId w:val="4"/>
        </w:numPr>
        <w:ind w:left="420"/>
        <w:rPr>
          <w:rFonts w:hint="eastAsia" w:ascii="宋体" w:hAnsi="宋体" w:cs="宋体"/>
          <w:b/>
          <w:bCs/>
          <w:color w:val="auto"/>
          <w:szCs w:val="21"/>
          <w:highlight w:val="none"/>
        </w:rPr>
      </w:pPr>
      <w:r>
        <w:rPr>
          <w:rFonts w:hint="eastAsia" w:ascii="宋体" w:hAnsi="宋体" w:eastAsia="宋体" w:cs="宋体"/>
          <w:b/>
          <w:bCs/>
          <w:color w:val="auto"/>
          <w:szCs w:val="21"/>
          <w:highlight w:val="none"/>
        </w:rPr>
        <w:t>请各投标人仔细阅读招标文件，按照相应要求及内容编制投标文件，并根据相关要求提供相应的证明材料，投标人须提供包含但不限于以下证明资料：</w:t>
      </w:r>
    </w:p>
    <w:p w14:paraId="26A4C652">
      <w:pPr>
        <w:pStyle w:val="104"/>
        <w:rPr>
          <w:rFonts w:cs="宋体"/>
          <w:color w:val="auto"/>
          <w:szCs w:val="21"/>
          <w:highlight w:val="none"/>
        </w:rPr>
      </w:pPr>
    </w:p>
    <w:bookmarkEnd w:id="5"/>
    <w:bookmarkEnd w:id="6"/>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511"/>
        <w:gridCol w:w="7289"/>
      </w:tblGrid>
      <w:tr w14:paraId="788F324C">
        <w:trPr>
          <w:trHeight w:val="346" w:hRule="atLeast"/>
        </w:trPr>
        <w:tc>
          <w:tcPr>
            <w:tcW w:w="1302" w:type="dxa"/>
            <w:noWrap w:val="0"/>
            <w:vAlign w:val="top"/>
          </w:tcPr>
          <w:p w14:paraId="74503BED">
            <w:pPr>
              <w:pStyle w:val="4"/>
              <w:spacing w:before="0" w:after="0" w:line="360" w:lineRule="auto"/>
              <w:jc w:val="center"/>
              <w:outlineLvl w:val="0"/>
              <w:rPr>
                <w:rFonts w:hint="eastAsia" w:ascii="宋体" w:hAnsi="宋体" w:eastAsia="宋体" w:cs="宋体"/>
                <w:color w:val="auto"/>
                <w:sz w:val="21"/>
                <w:szCs w:val="21"/>
                <w:highlight w:val="none"/>
              </w:rPr>
            </w:pPr>
            <w:bookmarkStart w:id="21" w:name="_Toc514325807"/>
            <w:r>
              <w:rPr>
                <w:rFonts w:hint="eastAsia" w:ascii="宋体" w:hAnsi="宋体" w:eastAsia="宋体" w:cs="宋体"/>
                <w:color w:val="auto"/>
                <w:sz w:val="21"/>
                <w:szCs w:val="21"/>
                <w:highlight w:val="none"/>
              </w:rPr>
              <w:t>评审项</w:t>
            </w:r>
          </w:p>
        </w:tc>
        <w:tc>
          <w:tcPr>
            <w:tcW w:w="1511" w:type="dxa"/>
            <w:noWrap w:val="0"/>
            <w:vAlign w:val="center"/>
          </w:tcPr>
          <w:p w14:paraId="0B6DD350">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color w:val="auto"/>
                <w:szCs w:val="21"/>
                <w:highlight w:val="none"/>
              </w:rPr>
              <w:t>评审因素</w:t>
            </w:r>
          </w:p>
        </w:tc>
        <w:tc>
          <w:tcPr>
            <w:tcW w:w="7289" w:type="dxa"/>
            <w:noWrap w:val="0"/>
            <w:vAlign w:val="top"/>
          </w:tcPr>
          <w:p w14:paraId="182FC564">
            <w:pPr>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szCs w:val="21"/>
                <w:highlight w:val="none"/>
              </w:rPr>
              <w:t>投标人须提供的证明资料</w:t>
            </w:r>
          </w:p>
        </w:tc>
      </w:tr>
      <w:tr w14:paraId="0A3FF07F">
        <w:tc>
          <w:tcPr>
            <w:tcW w:w="1302" w:type="dxa"/>
            <w:vMerge w:val="restart"/>
            <w:noWrap w:val="0"/>
            <w:vAlign w:val="center"/>
          </w:tcPr>
          <w:p w14:paraId="407A7273">
            <w:pPr>
              <w:pStyle w:val="103"/>
              <w:ind w:firstLine="0" w:firstLineChars="0"/>
              <w:jc w:val="center"/>
              <w:rPr>
                <w:rFonts w:hint="eastAsia" w:ascii="宋体" w:hAnsi="宋体" w:eastAsia="宋体" w:cs="宋体"/>
                <w:color w:val="auto"/>
                <w:highlight w:val="none"/>
              </w:rPr>
            </w:pPr>
            <w:r>
              <w:rPr>
                <w:rFonts w:hint="eastAsia" w:ascii="宋体" w:hAnsi="宋体" w:eastAsia="宋体" w:cs="宋体"/>
                <w:b/>
                <w:bCs/>
                <w:color w:val="auto"/>
                <w:szCs w:val="21"/>
                <w:highlight w:val="none"/>
                <w:u w:val="single"/>
              </w:rPr>
              <w:t>资格评审</w:t>
            </w:r>
          </w:p>
        </w:tc>
        <w:tc>
          <w:tcPr>
            <w:tcW w:w="1511" w:type="dxa"/>
            <w:noWrap w:val="0"/>
            <w:vAlign w:val="center"/>
          </w:tcPr>
          <w:p w14:paraId="405DF576">
            <w:pPr>
              <w:pStyle w:val="103"/>
              <w:ind w:firstLine="0" w:firstLineChars="0"/>
              <w:jc w:val="center"/>
              <w:rPr>
                <w:rFonts w:hint="eastAsia" w:ascii="宋体" w:hAnsi="宋体" w:eastAsia="宋体" w:cs="宋体"/>
                <w:color w:val="auto"/>
                <w:highlight w:val="none"/>
              </w:rPr>
            </w:pPr>
            <w:r>
              <w:rPr>
                <w:rFonts w:hint="eastAsia" w:ascii="宋体" w:hAnsi="宋体" w:eastAsia="宋体" w:cs="宋体"/>
                <w:b/>
                <w:bCs/>
                <w:color w:val="auto"/>
                <w:kern w:val="44"/>
                <w:szCs w:val="21"/>
                <w:highlight w:val="none"/>
              </w:rPr>
              <w:t>资质要求</w:t>
            </w:r>
          </w:p>
        </w:tc>
        <w:tc>
          <w:tcPr>
            <w:tcW w:w="7289" w:type="dxa"/>
            <w:noWrap w:val="0"/>
            <w:vAlign w:val="top"/>
          </w:tcPr>
          <w:p w14:paraId="1E6F58AF">
            <w:pPr>
              <w:rPr>
                <w:rFonts w:hint="eastAsia" w:ascii="宋体" w:hAnsi="宋体" w:eastAsia="宋体" w:cs="宋体"/>
                <w:color w:val="auto"/>
                <w:highlight w:val="none"/>
              </w:rPr>
            </w:pPr>
            <w:r>
              <w:rPr>
                <w:rFonts w:hint="eastAsia" w:ascii="宋体" w:hAnsi="宋体" w:eastAsia="宋体" w:cs="宋体"/>
                <w:b/>
                <w:bCs/>
                <w:color w:val="auto"/>
                <w:kern w:val="44"/>
                <w:szCs w:val="21"/>
                <w:highlight w:val="none"/>
              </w:rPr>
              <w:t>提供</w:t>
            </w:r>
            <w:r>
              <w:rPr>
                <w:rFonts w:hint="eastAsia" w:ascii="宋体" w:hAnsi="宋体" w:eastAsia="宋体" w:cs="宋体"/>
                <w:b/>
                <w:bCs/>
                <w:color w:val="auto"/>
                <w:szCs w:val="21"/>
                <w:highlight w:val="none"/>
              </w:rPr>
              <w:t>投标人营业执照（联合体投标的，联合体成员各方均须提供）、相应资质证书及安全生产许可证。</w:t>
            </w:r>
          </w:p>
        </w:tc>
      </w:tr>
      <w:tr w14:paraId="12E578BD">
        <w:tc>
          <w:tcPr>
            <w:tcW w:w="1302" w:type="dxa"/>
            <w:vMerge w:val="continue"/>
            <w:noWrap w:val="0"/>
            <w:vAlign w:val="top"/>
          </w:tcPr>
          <w:p w14:paraId="148BD197">
            <w:pPr>
              <w:pStyle w:val="103"/>
              <w:ind w:firstLine="420"/>
              <w:rPr>
                <w:rFonts w:hint="eastAsia" w:ascii="宋体" w:hAnsi="宋体" w:eastAsia="宋体" w:cs="宋体"/>
                <w:color w:val="auto"/>
                <w:highlight w:val="none"/>
              </w:rPr>
            </w:pPr>
          </w:p>
        </w:tc>
        <w:tc>
          <w:tcPr>
            <w:tcW w:w="1511" w:type="dxa"/>
            <w:noWrap w:val="0"/>
            <w:vAlign w:val="center"/>
          </w:tcPr>
          <w:p w14:paraId="3B301B7E">
            <w:pPr>
              <w:pStyle w:val="103"/>
              <w:ind w:firstLine="0" w:firstLineChars="0"/>
              <w:jc w:val="center"/>
              <w:rPr>
                <w:rFonts w:hint="eastAsia" w:ascii="宋体" w:hAnsi="宋体" w:eastAsia="宋体" w:cs="宋体"/>
                <w:color w:val="auto"/>
                <w:highlight w:val="none"/>
              </w:rPr>
            </w:pPr>
            <w:r>
              <w:rPr>
                <w:rFonts w:hint="eastAsia" w:ascii="宋体" w:hAnsi="宋体" w:eastAsia="宋体" w:cs="宋体"/>
                <w:b/>
                <w:bCs/>
                <w:color w:val="auto"/>
                <w:kern w:val="44"/>
                <w:szCs w:val="21"/>
                <w:highlight w:val="none"/>
              </w:rPr>
              <w:t>财务要求</w:t>
            </w:r>
          </w:p>
        </w:tc>
        <w:tc>
          <w:tcPr>
            <w:tcW w:w="7289" w:type="dxa"/>
            <w:noWrap w:val="0"/>
            <w:vAlign w:val="top"/>
          </w:tcPr>
          <w:p w14:paraId="443B340B">
            <w:pPr>
              <w:widowControl/>
              <w:numPr>
                <w:ilvl w:val="0"/>
                <w:numId w:val="0"/>
              </w:numPr>
              <w:adjustRightInd w:val="0"/>
              <w:jc w:val="left"/>
              <w:rPr>
                <w:rFonts w:hint="eastAsia" w:ascii="宋体" w:hAnsi="宋体" w:eastAsia="宋体" w:cs="宋体"/>
                <w:b/>
                <w:bCs/>
                <w:color w:val="auto"/>
                <w:highlight w:val="none"/>
              </w:rPr>
            </w:pPr>
            <w:r>
              <w:rPr>
                <w:rFonts w:hint="eastAsia" w:ascii="宋体" w:hAnsi="宋体" w:eastAsia="宋体" w:cs="宋体"/>
                <w:b/>
                <w:bCs/>
                <w:color w:val="auto"/>
                <w:kern w:val="0"/>
                <w:szCs w:val="21"/>
                <w:highlight w:val="none"/>
              </w:rPr>
              <w:t>提供投标人2022年及2023年财务审计报告及财务报表（审计报告应包含审计单位签字盖章页、经审计的利润表、资产负债表、现金流量表，2023年1月1日（含）之后成立的须提供成立之日起至今财务审计报告（至少包含利润表、资产负债表、现金流量表））。联合体投标时，联合体牵头人须满足以上要求。</w:t>
            </w:r>
          </w:p>
        </w:tc>
      </w:tr>
      <w:tr w14:paraId="6EF26031">
        <w:tc>
          <w:tcPr>
            <w:tcW w:w="1302" w:type="dxa"/>
            <w:vMerge w:val="continue"/>
            <w:noWrap w:val="0"/>
            <w:vAlign w:val="top"/>
          </w:tcPr>
          <w:p w14:paraId="6AD245B3">
            <w:pPr>
              <w:pStyle w:val="103"/>
              <w:ind w:firstLine="420"/>
              <w:rPr>
                <w:rFonts w:hint="eastAsia" w:ascii="宋体" w:hAnsi="宋体" w:eastAsia="宋体" w:cs="宋体"/>
                <w:color w:val="auto"/>
                <w:highlight w:val="none"/>
              </w:rPr>
            </w:pPr>
          </w:p>
        </w:tc>
        <w:tc>
          <w:tcPr>
            <w:tcW w:w="1511" w:type="dxa"/>
            <w:vMerge w:val="restart"/>
            <w:noWrap w:val="0"/>
            <w:vAlign w:val="center"/>
          </w:tcPr>
          <w:p w14:paraId="23B0E3F9">
            <w:pPr>
              <w:pStyle w:val="103"/>
              <w:ind w:firstLine="0" w:firstLineChars="0"/>
              <w:jc w:val="center"/>
              <w:rPr>
                <w:rFonts w:hint="eastAsia" w:ascii="宋体" w:hAnsi="宋体" w:eastAsia="宋体" w:cs="宋体"/>
                <w:color w:val="auto"/>
                <w:highlight w:val="none"/>
              </w:rPr>
            </w:pPr>
            <w:r>
              <w:rPr>
                <w:rFonts w:hint="eastAsia" w:ascii="宋体" w:hAnsi="宋体" w:eastAsia="宋体" w:cs="宋体"/>
                <w:b/>
                <w:bCs/>
                <w:color w:val="auto"/>
                <w:kern w:val="44"/>
                <w:szCs w:val="21"/>
                <w:highlight w:val="none"/>
              </w:rPr>
              <w:t>业绩要求</w:t>
            </w:r>
          </w:p>
        </w:tc>
        <w:tc>
          <w:tcPr>
            <w:tcW w:w="7289" w:type="dxa"/>
            <w:noWrap w:val="0"/>
            <w:vAlign w:val="top"/>
          </w:tcPr>
          <w:p w14:paraId="52066428">
            <w:pPr>
              <w:jc w:val="left"/>
              <w:rPr>
                <w:rFonts w:hint="eastAsia" w:ascii="宋体" w:hAnsi="宋体" w:eastAsia="宋体" w:cs="宋体"/>
                <w:color w:val="auto"/>
                <w:highlight w:val="none"/>
              </w:rPr>
            </w:pPr>
            <w:r>
              <w:rPr>
                <w:rFonts w:hint="eastAsia" w:ascii="宋体" w:hAnsi="宋体" w:eastAsia="宋体" w:cs="宋体"/>
                <w:b/>
                <w:bCs/>
                <w:color w:val="auto"/>
                <w:szCs w:val="21"/>
                <w:highlight w:val="none"/>
              </w:rPr>
              <w:t>①设计业绩要求：</w:t>
            </w:r>
            <w:r>
              <w:rPr>
                <w:rFonts w:hint="eastAsia" w:ascii="宋体" w:hAnsi="宋体" w:cs="宋体"/>
                <w:b/>
                <w:bCs/>
                <w:color w:val="auto"/>
                <w:szCs w:val="21"/>
                <w:highlight w:val="none"/>
              </w:rPr>
              <w:t>提供满足招标公告要求的业绩及相关证明资料。</w:t>
            </w:r>
          </w:p>
        </w:tc>
      </w:tr>
      <w:tr w14:paraId="5E907389">
        <w:tc>
          <w:tcPr>
            <w:tcW w:w="1302" w:type="dxa"/>
            <w:vMerge w:val="continue"/>
            <w:noWrap w:val="0"/>
            <w:vAlign w:val="top"/>
          </w:tcPr>
          <w:p w14:paraId="2669EDD1">
            <w:pPr>
              <w:pStyle w:val="103"/>
              <w:ind w:firstLine="420"/>
              <w:rPr>
                <w:rFonts w:hint="eastAsia" w:ascii="宋体" w:hAnsi="宋体" w:eastAsia="宋体" w:cs="宋体"/>
                <w:color w:val="auto"/>
                <w:highlight w:val="none"/>
              </w:rPr>
            </w:pPr>
          </w:p>
        </w:tc>
        <w:tc>
          <w:tcPr>
            <w:tcW w:w="1511" w:type="dxa"/>
            <w:vMerge w:val="continue"/>
            <w:noWrap w:val="0"/>
            <w:vAlign w:val="center"/>
          </w:tcPr>
          <w:p w14:paraId="3EB86ABE">
            <w:pPr>
              <w:pStyle w:val="103"/>
              <w:ind w:firstLine="422"/>
              <w:jc w:val="center"/>
              <w:rPr>
                <w:rFonts w:hint="eastAsia" w:ascii="宋体" w:hAnsi="宋体" w:eastAsia="宋体" w:cs="宋体"/>
                <w:b/>
                <w:bCs/>
                <w:color w:val="auto"/>
                <w:kern w:val="44"/>
                <w:szCs w:val="21"/>
                <w:highlight w:val="none"/>
              </w:rPr>
            </w:pPr>
          </w:p>
        </w:tc>
        <w:tc>
          <w:tcPr>
            <w:tcW w:w="7289" w:type="dxa"/>
            <w:noWrap w:val="0"/>
            <w:vAlign w:val="top"/>
          </w:tcPr>
          <w:p w14:paraId="1AA89ED5">
            <w:pPr>
              <w:pStyle w:val="4"/>
              <w:wordWrap w:val="0"/>
              <w:spacing w:before="0" w:after="0" w:line="360" w:lineRule="auto"/>
              <w:contextualSpacing/>
              <w:jc w:val="left"/>
              <w:outlineLvl w:val="0"/>
              <w:rPr>
                <w:rFonts w:hint="eastAsia" w:ascii="宋体" w:hAnsi="宋体" w:eastAsia="宋体" w:cs="宋体"/>
                <w:color w:val="auto"/>
                <w:highlight w:val="none"/>
              </w:rPr>
            </w:pPr>
            <w:bookmarkStart w:id="22" w:name="_Toc12290"/>
            <w:bookmarkStart w:id="23" w:name="_Toc18766"/>
            <w:bookmarkStart w:id="24" w:name="_Toc3308"/>
            <w:bookmarkStart w:id="25" w:name="_Toc3483"/>
            <w:r>
              <w:rPr>
                <w:rFonts w:hint="eastAsia" w:ascii="宋体" w:hAnsi="宋体" w:eastAsia="宋体" w:cs="宋体"/>
                <w:color w:val="auto"/>
                <w:sz w:val="21"/>
                <w:szCs w:val="21"/>
                <w:highlight w:val="none"/>
              </w:rPr>
              <w:t>②施工业绩要求：提供满足招标公告要求的业绩及相关证明资料。</w:t>
            </w:r>
            <w:bookmarkEnd w:id="22"/>
            <w:bookmarkEnd w:id="23"/>
            <w:bookmarkEnd w:id="24"/>
            <w:bookmarkEnd w:id="25"/>
          </w:p>
        </w:tc>
      </w:tr>
      <w:tr w14:paraId="38034231">
        <w:tc>
          <w:tcPr>
            <w:tcW w:w="1302" w:type="dxa"/>
            <w:vMerge w:val="continue"/>
            <w:noWrap w:val="0"/>
            <w:vAlign w:val="top"/>
          </w:tcPr>
          <w:p w14:paraId="1D675ED4">
            <w:pPr>
              <w:pStyle w:val="103"/>
              <w:ind w:firstLine="420"/>
              <w:rPr>
                <w:rFonts w:hint="eastAsia" w:ascii="宋体" w:hAnsi="宋体" w:eastAsia="宋体" w:cs="宋体"/>
                <w:color w:val="auto"/>
                <w:highlight w:val="none"/>
              </w:rPr>
            </w:pPr>
          </w:p>
        </w:tc>
        <w:tc>
          <w:tcPr>
            <w:tcW w:w="1511" w:type="dxa"/>
            <w:noWrap w:val="0"/>
            <w:vAlign w:val="center"/>
          </w:tcPr>
          <w:p w14:paraId="507AFD92">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kern w:val="44"/>
                <w:szCs w:val="21"/>
                <w:highlight w:val="none"/>
              </w:rPr>
              <w:t>信誉要求</w:t>
            </w:r>
          </w:p>
        </w:tc>
        <w:tc>
          <w:tcPr>
            <w:tcW w:w="7289" w:type="dxa"/>
            <w:noWrap w:val="0"/>
            <w:vAlign w:val="top"/>
          </w:tcPr>
          <w:p w14:paraId="3ABA0A81">
            <w:pPr>
              <w:pStyle w:val="4"/>
              <w:wordWrap w:val="0"/>
              <w:spacing w:before="0" w:after="0" w:line="360" w:lineRule="auto"/>
              <w:contextualSpacing/>
              <w:jc w:val="left"/>
              <w:outlineLvl w:val="0"/>
              <w:rPr>
                <w:rFonts w:hint="eastAsia" w:ascii="宋体" w:hAnsi="宋体" w:eastAsia="宋体" w:cs="宋体"/>
                <w:color w:val="auto"/>
                <w:sz w:val="21"/>
                <w:szCs w:val="21"/>
                <w:highlight w:val="none"/>
              </w:rPr>
            </w:pPr>
            <w:bookmarkStart w:id="26" w:name="_Toc12451"/>
            <w:bookmarkStart w:id="27" w:name="_Toc25573"/>
            <w:bookmarkStart w:id="28" w:name="_Toc31259"/>
            <w:r>
              <w:rPr>
                <w:rFonts w:hint="eastAsia" w:ascii="宋体" w:hAnsi="宋体" w:eastAsia="宋体" w:cs="宋体"/>
                <w:color w:val="auto"/>
                <w:sz w:val="21"/>
                <w:szCs w:val="21"/>
                <w:highlight w:val="none"/>
              </w:rPr>
              <w:t>提供信用中国（http://www.creditchina.gov.cn/)网站截屏（联合体投标时，联合体各方均须满足以上要求）。</w:t>
            </w:r>
            <w:bookmarkEnd w:id="26"/>
            <w:bookmarkEnd w:id="27"/>
            <w:bookmarkEnd w:id="28"/>
          </w:p>
        </w:tc>
      </w:tr>
      <w:tr w14:paraId="2783B439">
        <w:tc>
          <w:tcPr>
            <w:tcW w:w="1302" w:type="dxa"/>
            <w:vMerge w:val="continue"/>
            <w:noWrap w:val="0"/>
            <w:vAlign w:val="top"/>
          </w:tcPr>
          <w:p w14:paraId="691580C4">
            <w:pPr>
              <w:pStyle w:val="103"/>
              <w:ind w:firstLine="420"/>
              <w:rPr>
                <w:rFonts w:hint="eastAsia" w:ascii="宋体" w:hAnsi="宋体" w:eastAsia="宋体" w:cs="宋体"/>
                <w:color w:val="auto"/>
                <w:highlight w:val="none"/>
              </w:rPr>
            </w:pPr>
          </w:p>
        </w:tc>
        <w:tc>
          <w:tcPr>
            <w:tcW w:w="1511" w:type="dxa"/>
            <w:noWrap w:val="0"/>
            <w:vAlign w:val="center"/>
          </w:tcPr>
          <w:p w14:paraId="41C1F32D">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szCs w:val="21"/>
                <w:highlight w:val="none"/>
                <w:lang w:eastAsia="zh-CN"/>
              </w:rPr>
              <w:t>项目经理</w:t>
            </w:r>
            <w:r>
              <w:rPr>
                <w:rFonts w:hint="eastAsia" w:ascii="宋体" w:hAnsi="宋体" w:eastAsia="宋体" w:cs="宋体"/>
                <w:b/>
                <w:bCs/>
                <w:color w:val="auto"/>
                <w:szCs w:val="21"/>
                <w:highlight w:val="none"/>
              </w:rPr>
              <w:t>的资格要求</w:t>
            </w:r>
          </w:p>
        </w:tc>
        <w:tc>
          <w:tcPr>
            <w:tcW w:w="7289" w:type="dxa"/>
            <w:noWrap w:val="0"/>
            <w:vAlign w:val="top"/>
          </w:tcPr>
          <w:p w14:paraId="5A0DC48B">
            <w:pPr>
              <w:pStyle w:val="106"/>
              <w:wordWrap w:val="0"/>
              <w:ind w:firstLine="0" w:firstLineChars="0"/>
              <w:rPr>
                <w:rFonts w:hint="eastAsia" w:ascii="宋体" w:hAnsi="宋体" w:eastAsia="宋体" w:cs="宋体"/>
                <w:b w:val="0"/>
                <w:bCs w:val="0"/>
                <w:color w:val="auto"/>
                <w:szCs w:val="21"/>
                <w:highlight w:val="none"/>
              </w:rPr>
            </w:pPr>
            <w:r>
              <w:rPr>
                <w:rFonts w:hint="eastAsia" w:ascii="宋体" w:hAnsi="宋体" w:eastAsia="宋体" w:cs="宋体"/>
                <w:b/>
                <w:bCs/>
                <w:color w:val="auto"/>
                <w:szCs w:val="21"/>
                <w:highlight w:val="none"/>
              </w:rPr>
              <w:t>提供满足招标公告要求的</w:t>
            </w:r>
            <w:r>
              <w:rPr>
                <w:rFonts w:hint="eastAsia" w:ascii="宋体" w:hAnsi="宋体" w:eastAsia="宋体" w:cs="宋体"/>
                <w:b/>
                <w:bCs/>
                <w:color w:val="auto"/>
                <w:sz w:val="21"/>
                <w:szCs w:val="21"/>
                <w:highlight w:val="none"/>
                <w:lang w:val="en-US" w:eastAsia="zh-CN"/>
              </w:rPr>
              <w:t>注册</w:t>
            </w:r>
            <w:r>
              <w:rPr>
                <w:rFonts w:hint="eastAsia" w:ascii="宋体" w:hAnsi="宋体" w:eastAsia="宋体" w:cs="宋体"/>
                <w:b/>
                <w:bCs/>
                <w:color w:val="auto"/>
                <w:sz w:val="21"/>
                <w:szCs w:val="21"/>
                <w:highlight w:val="none"/>
              </w:rPr>
              <w:t>证书</w:t>
            </w:r>
            <w:r>
              <w:rPr>
                <w:rFonts w:hint="eastAsia" w:ascii="宋体" w:hAnsi="宋体" w:eastAsia="宋体" w:cs="宋体"/>
                <w:b/>
                <w:bCs/>
                <w:color w:val="auto"/>
                <w:szCs w:val="21"/>
                <w:highlight w:val="none"/>
              </w:rPr>
              <w:t>扫描件</w:t>
            </w:r>
            <w:r>
              <w:rPr>
                <w:rFonts w:hint="eastAsia" w:ascii="宋体" w:hAnsi="宋体" w:eastAsia="宋体" w:cs="宋体"/>
                <w:b/>
                <w:bCs/>
                <w:color w:val="auto"/>
                <w:sz w:val="21"/>
                <w:szCs w:val="21"/>
                <w:highlight w:val="none"/>
                <w:lang w:eastAsia="zh-CN"/>
              </w:rPr>
              <w:t>、安全生产考核证书</w:t>
            </w:r>
            <w:r>
              <w:rPr>
                <w:rFonts w:hint="eastAsia" w:ascii="宋体" w:hAnsi="宋体" w:eastAsia="宋体" w:cs="宋体"/>
                <w:b/>
                <w:bCs/>
                <w:color w:val="auto"/>
                <w:szCs w:val="21"/>
                <w:highlight w:val="none"/>
              </w:rPr>
              <w:t>扫描件、社保缴纳记录及业绩（业绩须提供能体现</w:t>
            </w:r>
            <w:r>
              <w:rPr>
                <w:rFonts w:hint="eastAsia" w:ascii="宋体" w:hAnsi="宋体" w:eastAsia="宋体" w:cs="宋体"/>
                <w:b/>
                <w:bCs/>
                <w:color w:val="auto"/>
                <w:szCs w:val="21"/>
                <w:highlight w:val="none"/>
                <w:lang w:eastAsia="zh-CN"/>
              </w:rPr>
              <w:t>项目经理</w:t>
            </w:r>
            <w:r>
              <w:rPr>
                <w:rFonts w:hint="eastAsia" w:ascii="宋体" w:hAnsi="宋体" w:eastAsia="宋体" w:cs="宋体"/>
                <w:b/>
                <w:bCs/>
                <w:color w:val="auto"/>
                <w:szCs w:val="21"/>
                <w:highlight w:val="none"/>
              </w:rPr>
              <w:t>信息的合同或项目任命书或中标通知书或相关证明材料）、承诺书（所管理项目无重大质量事故和生产安全事故，且不得同时在两个或者两个以上工程项目担任工程总承包</w:t>
            </w:r>
            <w:r>
              <w:rPr>
                <w:rFonts w:hint="eastAsia" w:ascii="宋体" w:hAnsi="宋体" w:eastAsia="宋体" w:cs="宋体"/>
                <w:b/>
                <w:bCs/>
                <w:color w:val="auto"/>
                <w:szCs w:val="21"/>
                <w:highlight w:val="none"/>
                <w:lang w:eastAsia="zh-CN"/>
              </w:rPr>
              <w:t>项目经理</w:t>
            </w:r>
            <w:r>
              <w:rPr>
                <w:rFonts w:hint="eastAsia" w:ascii="宋体" w:hAnsi="宋体" w:eastAsia="宋体" w:cs="宋体"/>
                <w:b/>
                <w:bCs/>
                <w:color w:val="auto"/>
                <w:szCs w:val="21"/>
                <w:highlight w:val="none"/>
              </w:rPr>
              <w:t>、施工项目负责人</w:t>
            </w:r>
            <w:r>
              <w:rPr>
                <w:rFonts w:hint="eastAsia" w:ascii="宋体" w:hAnsi="宋体" w:eastAsia="宋体" w:cs="宋体"/>
                <w:b/>
                <w:bCs/>
                <w:color w:val="auto"/>
                <w:szCs w:val="21"/>
                <w:highlight w:val="none"/>
                <w:lang w:eastAsia="zh-CN"/>
              </w:rPr>
              <w:t>、本项目投标的项目经理必须保证和现场实际项目经理为同一人</w:t>
            </w:r>
            <w:r>
              <w:rPr>
                <w:rFonts w:hint="eastAsia" w:ascii="宋体" w:hAnsi="宋体" w:eastAsia="宋体" w:cs="宋体"/>
                <w:b/>
                <w:bCs/>
                <w:color w:val="auto"/>
                <w:szCs w:val="21"/>
                <w:highlight w:val="none"/>
              </w:rPr>
              <w:t>）。</w:t>
            </w:r>
          </w:p>
        </w:tc>
      </w:tr>
      <w:tr w14:paraId="369E9C30">
        <w:tc>
          <w:tcPr>
            <w:tcW w:w="1302" w:type="dxa"/>
            <w:vMerge w:val="continue"/>
            <w:noWrap w:val="0"/>
            <w:vAlign w:val="top"/>
          </w:tcPr>
          <w:p w14:paraId="0032A0AF">
            <w:pPr>
              <w:pStyle w:val="103"/>
              <w:ind w:firstLine="420"/>
              <w:rPr>
                <w:rFonts w:hint="eastAsia" w:ascii="宋体" w:hAnsi="宋体" w:eastAsia="宋体" w:cs="宋体"/>
                <w:color w:val="auto"/>
                <w:highlight w:val="none"/>
              </w:rPr>
            </w:pPr>
          </w:p>
        </w:tc>
        <w:tc>
          <w:tcPr>
            <w:tcW w:w="1511" w:type="dxa"/>
            <w:noWrap w:val="0"/>
            <w:vAlign w:val="center"/>
          </w:tcPr>
          <w:p w14:paraId="1ED363CD">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szCs w:val="21"/>
                <w:highlight w:val="none"/>
              </w:rPr>
              <w:t>设计负责人的资格要求</w:t>
            </w:r>
          </w:p>
        </w:tc>
        <w:tc>
          <w:tcPr>
            <w:tcW w:w="7289" w:type="dxa"/>
            <w:noWrap w:val="0"/>
            <w:vAlign w:val="top"/>
          </w:tcPr>
          <w:p w14:paraId="46927399">
            <w:pPr>
              <w:pStyle w:val="106"/>
              <w:wordWrap w:val="0"/>
              <w:ind w:firstLine="0" w:firstLineChars="0"/>
              <w:rPr>
                <w:rFonts w:hint="eastAsia" w:ascii="宋体" w:hAnsi="宋体" w:eastAsia="宋体" w:cs="宋体"/>
                <w:b/>
                <w:bCs/>
                <w:color w:val="auto"/>
                <w:kern w:val="0"/>
                <w:szCs w:val="21"/>
                <w:highlight w:val="none"/>
              </w:rPr>
            </w:pPr>
            <w:r>
              <w:rPr>
                <w:rFonts w:hint="eastAsia" w:ascii="宋体" w:hAnsi="宋体" w:eastAsia="宋体" w:cs="宋体"/>
                <w:b/>
                <w:bCs/>
                <w:color w:val="auto"/>
                <w:szCs w:val="21"/>
                <w:highlight w:val="none"/>
              </w:rPr>
              <w:t>提供满足招标公告要求的资格证书扫描件、社保缴纳记录及业绩（业绩须提供能体现设计负责人信息的合同或项目任命书或中标通知书或相关证明材料）、承诺书（所</w:t>
            </w:r>
            <w:r>
              <w:rPr>
                <w:rFonts w:hint="eastAsia" w:ascii="宋体" w:hAnsi="宋体" w:eastAsia="宋体" w:cs="宋体"/>
                <w:b/>
                <w:bCs/>
                <w:color w:val="auto"/>
                <w:szCs w:val="21"/>
                <w:highlight w:val="none"/>
                <w:lang w:val="en-US" w:eastAsia="zh-CN"/>
              </w:rPr>
              <w:t>设计</w:t>
            </w:r>
            <w:r>
              <w:rPr>
                <w:rFonts w:hint="eastAsia" w:ascii="宋体" w:hAnsi="宋体" w:eastAsia="宋体" w:cs="宋体"/>
                <w:b/>
                <w:bCs/>
                <w:color w:val="auto"/>
                <w:szCs w:val="21"/>
                <w:highlight w:val="none"/>
              </w:rPr>
              <w:t>项目无重大质量事故和生产安全事故</w:t>
            </w:r>
            <w:r>
              <w:rPr>
                <w:rFonts w:hint="eastAsia" w:ascii="宋体" w:hAnsi="宋体" w:eastAsia="宋体" w:cs="宋体"/>
                <w:b/>
                <w:bCs/>
                <w:color w:val="auto"/>
                <w:szCs w:val="21"/>
                <w:highlight w:val="none"/>
                <w:lang w:eastAsia="zh-CN"/>
              </w:rPr>
              <w:t>、本项目投标的设计负责人必须保证和现场实际设计负责人为同一人</w:t>
            </w:r>
            <w:r>
              <w:rPr>
                <w:rFonts w:hint="eastAsia" w:ascii="宋体" w:hAnsi="宋体" w:eastAsia="宋体" w:cs="宋体"/>
                <w:b/>
                <w:bCs/>
                <w:color w:val="auto"/>
                <w:szCs w:val="21"/>
                <w:highlight w:val="none"/>
              </w:rPr>
              <w:t>）。</w:t>
            </w:r>
          </w:p>
        </w:tc>
      </w:tr>
      <w:tr w14:paraId="384562EE">
        <w:tc>
          <w:tcPr>
            <w:tcW w:w="1302" w:type="dxa"/>
            <w:vMerge w:val="continue"/>
            <w:noWrap w:val="0"/>
            <w:vAlign w:val="top"/>
          </w:tcPr>
          <w:p w14:paraId="1D3A3FCC">
            <w:pPr>
              <w:pStyle w:val="103"/>
              <w:ind w:firstLine="420"/>
              <w:rPr>
                <w:rFonts w:hint="eastAsia" w:ascii="宋体" w:hAnsi="宋体" w:eastAsia="宋体" w:cs="宋体"/>
                <w:color w:val="auto"/>
                <w:highlight w:val="none"/>
              </w:rPr>
            </w:pPr>
          </w:p>
        </w:tc>
        <w:tc>
          <w:tcPr>
            <w:tcW w:w="1511" w:type="dxa"/>
            <w:noWrap w:val="0"/>
            <w:vAlign w:val="center"/>
          </w:tcPr>
          <w:p w14:paraId="7D3D3B4B">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szCs w:val="21"/>
                <w:highlight w:val="none"/>
              </w:rPr>
              <w:t>施工负责人的资格要求</w:t>
            </w:r>
          </w:p>
        </w:tc>
        <w:tc>
          <w:tcPr>
            <w:tcW w:w="7289" w:type="dxa"/>
            <w:noWrap w:val="0"/>
            <w:vAlign w:val="top"/>
          </w:tcPr>
          <w:p w14:paraId="447511B4">
            <w:pPr>
              <w:pStyle w:val="106"/>
              <w:wordWrap w:val="0"/>
              <w:ind w:firstLine="0" w:firstLineChars="0"/>
              <w:rPr>
                <w:rFonts w:hint="eastAsia" w:ascii="宋体" w:hAnsi="宋体" w:eastAsia="宋体" w:cs="宋体"/>
                <w:b/>
                <w:bCs/>
                <w:color w:val="auto"/>
                <w:kern w:val="0"/>
                <w:szCs w:val="21"/>
                <w:highlight w:val="none"/>
              </w:rPr>
            </w:pPr>
            <w:r>
              <w:rPr>
                <w:rFonts w:hint="eastAsia" w:ascii="宋体" w:hAnsi="宋体" w:eastAsia="宋体" w:cs="宋体"/>
                <w:b/>
                <w:bCs/>
                <w:color w:val="auto"/>
                <w:szCs w:val="21"/>
                <w:highlight w:val="none"/>
              </w:rPr>
              <w:t>提供满足招标公告要求的</w:t>
            </w:r>
            <w:r>
              <w:rPr>
                <w:rFonts w:hint="eastAsia" w:ascii="宋体" w:hAnsi="宋体" w:eastAsia="宋体" w:cs="宋体"/>
                <w:b/>
                <w:bCs/>
                <w:color w:val="auto"/>
                <w:sz w:val="21"/>
                <w:szCs w:val="21"/>
                <w:highlight w:val="none"/>
                <w:lang w:val="en-US" w:eastAsia="zh-CN"/>
              </w:rPr>
              <w:t>注册</w:t>
            </w:r>
            <w:r>
              <w:rPr>
                <w:rFonts w:hint="eastAsia" w:ascii="宋体" w:hAnsi="宋体" w:eastAsia="宋体" w:cs="宋体"/>
                <w:b/>
                <w:bCs/>
                <w:color w:val="auto"/>
                <w:sz w:val="21"/>
                <w:szCs w:val="21"/>
                <w:highlight w:val="none"/>
              </w:rPr>
              <w:t>证书</w:t>
            </w:r>
            <w:r>
              <w:rPr>
                <w:rFonts w:hint="eastAsia" w:ascii="宋体" w:hAnsi="宋体" w:eastAsia="宋体" w:cs="宋体"/>
                <w:b/>
                <w:bCs/>
                <w:color w:val="auto"/>
                <w:szCs w:val="21"/>
                <w:highlight w:val="none"/>
              </w:rPr>
              <w:t>扫描件、安全生产考核证书扫描件</w:t>
            </w:r>
            <w:r>
              <w:rPr>
                <w:rFonts w:hint="eastAsia" w:ascii="宋体" w:hAnsi="宋体" w:eastAsia="宋体" w:cs="宋体"/>
                <w:b/>
                <w:bCs/>
                <w:color w:val="auto"/>
                <w:szCs w:val="21"/>
                <w:highlight w:val="none"/>
                <w:lang w:eastAsia="zh-CN"/>
              </w:rPr>
              <w:t>、</w:t>
            </w:r>
            <w:r>
              <w:rPr>
                <w:rFonts w:hint="eastAsia" w:ascii="宋体" w:hAnsi="宋体" w:eastAsia="宋体" w:cs="宋体"/>
                <w:b/>
                <w:bCs/>
                <w:color w:val="auto"/>
                <w:szCs w:val="21"/>
                <w:highlight w:val="none"/>
              </w:rPr>
              <w:t>社保缴纳记录及业绩（业绩须提供能体现施工负责人信息的合同或项目任命书或中标通知书或相关证明材料）、承诺书（所管理项目无重大质量事故和生产安全事故，且不得同时在两个或者两个以上工程项目担任工程总承包</w:t>
            </w:r>
            <w:r>
              <w:rPr>
                <w:rFonts w:hint="eastAsia" w:ascii="宋体" w:hAnsi="宋体" w:eastAsia="宋体" w:cs="宋体"/>
                <w:b/>
                <w:bCs/>
                <w:color w:val="auto"/>
                <w:szCs w:val="21"/>
                <w:highlight w:val="none"/>
                <w:lang w:eastAsia="zh-CN"/>
              </w:rPr>
              <w:t>项目经理</w:t>
            </w:r>
            <w:r>
              <w:rPr>
                <w:rFonts w:hint="eastAsia" w:ascii="宋体" w:hAnsi="宋体" w:eastAsia="宋体" w:cs="宋体"/>
                <w:b/>
                <w:bCs/>
                <w:color w:val="auto"/>
                <w:szCs w:val="21"/>
                <w:highlight w:val="none"/>
              </w:rPr>
              <w:t>、施工项目负责人</w:t>
            </w:r>
            <w:r>
              <w:rPr>
                <w:rFonts w:hint="eastAsia" w:ascii="宋体" w:hAnsi="宋体" w:eastAsia="宋体" w:cs="宋体"/>
                <w:b/>
                <w:bCs/>
                <w:color w:val="auto"/>
                <w:szCs w:val="21"/>
                <w:highlight w:val="none"/>
                <w:lang w:eastAsia="zh-CN"/>
              </w:rPr>
              <w:t>、本项目投标的施工负责人必须保证和现场实际施工负责人为同一人</w:t>
            </w:r>
            <w:r>
              <w:rPr>
                <w:rFonts w:hint="eastAsia" w:ascii="宋体" w:hAnsi="宋体" w:eastAsia="宋体" w:cs="宋体"/>
                <w:b/>
                <w:bCs/>
                <w:color w:val="auto"/>
                <w:szCs w:val="21"/>
                <w:highlight w:val="none"/>
              </w:rPr>
              <w:t>）。</w:t>
            </w:r>
          </w:p>
        </w:tc>
      </w:tr>
      <w:tr w14:paraId="2B0F24B8">
        <w:trPr>
          <w:trHeight w:val="676" w:hRule="atLeast"/>
        </w:trPr>
        <w:tc>
          <w:tcPr>
            <w:tcW w:w="1302" w:type="dxa"/>
            <w:vMerge w:val="continue"/>
            <w:noWrap w:val="0"/>
            <w:vAlign w:val="top"/>
          </w:tcPr>
          <w:p w14:paraId="79C85333">
            <w:pPr>
              <w:pStyle w:val="103"/>
              <w:ind w:firstLine="420"/>
              <w:rPr>
                <w:rFonts w:hint="eastAsia" w:ascii="宋体" w:hAnsi="宋体" w:eastAsia="宋体" w:cs="宋体"/>
                <w:color w:val="auto"/>
                <w:highlight w:val="none"/>
              </w:rPr>
            </w:pPr>
          </w:p>
        </w:tc>
        <w:tc>
          <w:tcPr>
            <w:tcW w:w="1511" w:type="dxa"/>
            <w:noWrap w:val="0"/>
            <w:vAlign w:val="top"/>
          </w:tcPr>
          <w:p w14:paraId="614FFAC9">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kern w:val="0"/>
                <w:szCs w:val="21"/>
                <w:highlight w:val="none"/>
              </w:rPr>
              <w:t>其他项目管理机构及人员</w:t>
            </w:r>
          </w:p>
        </w:tc>
        <w:tc>
          <w:tcPr>
            <w:tcW w:w="7289" w:type="dxa"/>
            <w:noWrap w:val="0"/>
            <w:vAlign w:val="top"/>
          </w:tcPr>
          <w:p w14:paraId="618CE600">
            <w:pPr>
              <w:pStyle w:val="106"/>
              <w:wordWrap w:val="0"/>
              <w:ind w:firstLine="0" w:firstLineChars="0"/>
              <w:rPr>
                <w:rFonts w:hint="eastAsia" w:ascii="宋体" w:hAnsi="宋体" w:eastAsia="宋体" w:cs="宋体"/>
                <w:b/>
                <w:bCs/>
                <w:color w:val="auto"/>
                <w:kern w:val="0"/>
                <w:szCs w:val="21"/>
                <w:highlight w:val="none"/>
              </w:rPr>
            </w:pPr>
            <w:r>
              <w:rPr>
                <w:rFonts w:hint="eastAsia" w:ascii="宋体" w:hAnsi="宋体" w:eastAsia="宋体" w:cs="宋体"/>
                <w:b/>
                <w:bCs/>
                <w:color w:val="auto"/>
                <w:szCs w:val="21"/>
                <w:highlight w:val="none"/>
              </w:rPr>
              <w:t>在投标文件中列明施工员、质检员、安全员、资料员、材料员（上述人员不能重复）。</w:t>
            </w:r>
          </w:p>
        </w:tc>
      </w:tr>
      <w:tr w14:paraId="7A4B2F60">
        <w:tc>
          <w:tcPr>
            <w:tcW w:w="1302" w:type="dxa"/>
            <w:vMerge w:val="continue"/>
            <w:noWrap w:val="0"/>
            <w:vAlign w:val="top"/>
          </w:tcPr>
          <w:p w14:paraId="20F5F12B">
            <w:pPr>
              <w:pStyle w:val="103"/>
              <w:ind w:firstLine="420"/>
              <w:rPr>
                <w:rFonts w:hint="eastAsia" w:ascii="宋体" w:hAnsi="宋体" w:eastAsia="宋体" w:cs="宋体"/>
                <w:color w:val="auto"/>
                <w:highlight w:val="none"/>
              </w:rPr>
            </w:pPr>
          </w:p>
        </w:tc>
        <w:tc>
          <w:tcPr>
            <w:tcW w:w="1511" w:type="dxa"/>
            <w:noWrap w:val="0"/>
            <w:vAlign w:val="top"/>
          </w:tcPr>
          <w:p w14:paraId="67023BCE">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kern w:val="0"/>
                <w:szCs w:val="21"/>
                <w:highlight w:val="none"/>
              </w:rPr>
              <w:t>其他要求</w:t>
            </w:r>
          </w:p>
        </w:tc>
        <w:tc>
          <w:tcPr>
            <w:tcW w:w="7289" w:type="dxa"/>
            <w:noWrap w:val="0"/>
            <w:vAlign w:val="top"/>
          </w:tcPr>
          <w:p w14:paraId="31A277E6">
            <w:pPr>
              <w:widowControl/>
              <w:adjustRightInd w:val="0"/>
              <w:jc w:val="left"/>
              <w:rPr>
                <w:rFonts w:hint="eastAsia" w:ascii="宋体" w:hAnsi="宋体" w:eastAsia="宋体" w:cs="宋体"/>
                <w:b/>
                <w:bCs/>
                <w:color w:val="auto"/>
                <w:szCs w:val="21"/>
                <w:highlight w:val="none"/>
              </w:rPr>
            </w:pPr>
            <w:r>
              <w:rPr>
                <w:rFonts w:hint="eastAsia" w:ascii="宋体" w:hAnsi="宋体" w:eastAsia="宋体" w:cs="宋体"/>
                <w:b/>
                <w:bCs/>
                <w:color w:val="auto"/>
                <w:kern w:val="0"/>
                <w:szCs w:val="21"/>
                <w:highlight w:val="none"/>
              </w:rPr>
              <w:t>如为联合体投标，则联合体成员须满足招标公告6.2联合体投标的相关规定，并提供联合体协议书（具体格式详见本项目招标文件第七章投标文件格式）。</w:t>
            </w:r>
          </w:p>
        </w:tc>
      </w:tr>
    </w:tbl>
    <w:p w14:paraId="22D820A9">
      <w:pPr>
        <w:pStyle w:val="103"/>
        <w:ind w:firstLine="420"/>
        <w:rPr>
          <w:rFonts w:hint="eastAsia" w:ascii="宋体" w:hAnsi="宋体" w:eastAsia="宋体" w:cs="宋体"/>
          <w:color w:val="auto"/>
          <w:highlight w:val="none"/>
        </w:rPr>
      </w:pPr>
    </w:p>
    <w:p w14:paraId="0C1E2198">
      <w:pPr>
        <w:bidi w:val="0"/>
        <w:rPr>
          <w:rFonts w:hint="eastAsia"/>
        </w:rPr>
      </w:pPr>
      <w:bookmarkStart w:id="29" w:name="_Toc9190"/>
      <w:bookmarkStart w:id="30" w:name="_Toc26005"/>
      <w:bookmarkStart w:id="31" w:name="_Toc3840"/>
      <w:bookmarkStart w:id="32" w:name="_Toc17382"/>
      <w:bookmarkStart w:id="33" w:name="_Toc1386"/>
      <w:bookmarkStart w:id="34" w:name="_Toc394"/>
    </w:p>
    <w:p w14:paraId="741AB0D4">
      <w:pPr>
        <w:pStyle w:val="2"/>
        <w:rPr>
          <w:rFonts w:hint="eastAsia"/>
        </w:rPr>
      </w:pPr>
    </w:p>
    <w:p w14:paraId="7A807FEC">
      <w:pPr>
        <w:rPr>
          <w:rFonts w:hint="eastAsia"/>
        </w:rPr>
      </w:pPr>
    </w:p>
    <w:p w14:paraId="4C343030">
      <w:pPr>
        <w:pStyle w:val="2"/>
        <w:rPr>
          <w:rFonts w:hint="eastAsia"/>
        </w:rPr>
      </w:pPr>
    </w:p>
    <w:p w14:paraId="4A919FFA">
      <w:pPr>
        <w:rPr>
          <w:rFonts w:hint="eastAsia"/>
        </w:rPr>
      </w:pPr>
    </w:p>
    <w:p w14:paraId="744EB032">
      <w:pPr>
        <w:pStyle w:val="2"/>
        <w:rPr>
          <w:rFonts w:hint="eastAsia"/>
        </w:rPr>
      </w:pPr>
    </w:p>
    <w:p w14:paraId="667D2B21">
      <w:pPr>
        <w:rPr>
          <w:rFonts w:hint="eastAsia"/>
        </w:rPr>
      </w:pPr>
    </w:p>
    <w:p w14:paraId="7E17BC07">
      <w:pPr>
        <w:pStyle w:val="2"/>
        <w:rPr>
          <w:rFonts w:hint="eastAsia"/>
        </w:rPr>
      </w:pPr>
    </w:p>
    <w:p w14:paraId="51940E81">
      <w:pPr>
        <w:rPr>
          <w:rFonts w:hint="eastAsia"/>
        </w:rPr>
      </w:pPr>
    </w:p>
    <w:p w14:paraId="283E2AD8">
      <w:pPr>
        <w:pStyle w:val="2"/>
        <w:rPr>
          <w:rFonts w:hint="eastAsia"/>
        </w:rPr>
      </w:pPr>
    </w:p>
    <w:p w14:paraId="3D85D530">
      <w:pPr>
        <w:rPr>
          <w:rFonts w:hint="eastAsia"/>
        </w:rPr>
      </w:pPr>
    </w:p>
    <w:p w14:paraId="7D2A962C">
      <w:pPr>
        <w:pStyle w:val="2"/>
        <w:rPr>
          <w:rFonts w:hint="eastAsia"/>
        </w:rPr>
      </w:pPr>
    </w:p>
    <w:p w14:paraId="3E9AC198">
      <w:pPr>
        <w:rPr>
          <w:rFonts w:hint="eastAsia"/>
        </w:rPr>
      </w:pPr>
    </w:p>
    <w:p w14:paraId="0ECB3D65">
      <w:pPr>
        <w:pStyle w:val="2"/>
        <w:rPr>
          <w:rFonts w:hint="eastAsia"/>
        </w:rPr>
      </w:pPr>
    </w:p>
    <w:p w14:paraId="4CB1B9B1">
      <w:pPr>
        <w:rPr>
          <w:rFonts w:hint="eastAsia"/>
        </w:rPr>
      </w:pPr>
    </w:p>
    <w:p w14:paraId="3535D3E9">
      <w:pPr>
        <w:pStyle w:val="2"/>
        <w:rPr>
          <w:rFonts w:hint="eastAsia"/>
        </w:rPr>
      </w:pPr>
    </w:p>
    <w:p w14:paraId="0F4B5FDD">
      <w:pPr>
        <w:ind w:left="0" w:leftChars="0" w:firstLine="0" w:firstLineChars="0"/>
        <w:rPr>
          <w:rFonts w:hint="eastAsia"/>
        </w:rPr>
      </w:pPr>
    </w:p>
    <w:bookmarkEnd w:id="21"/>
    <w:bookmarkEnd w:id="29"/>
    <w:bookmarkEnd w:id="30"/>
    <w:bookmarkEnd w:id="31"/>
    <w:bookmarkEnd w:id="32"/>
    <w:bookmarkEnd w:id="33"/>
    <w:bookmarkEnd w:id="34"/>
    <w:p w14:paraId="2AA9EBC9">
      <w:pPr>
        <w:pStyle w:val="4"/>
        <w:numPr>
          <w:numId w:val="0"/>
        </w:numPr>
        <w:spacing w:before="0" w:after="0" w:line="360" w:lineRule="auto"/>
        <w:ind w:left="-425" w:leftChars="0"/>
        <w:jc w:val="center"/>
        <w:rPr>
          <w:rFonts w:hint="eastAsia" w:ascii="宋体" w:hAnsi="宋体" w:eastAsia="宋体" w:cs="宋体"/>
          <w:color w:val="auto"/>
          <w:sz w:val="21"/>
          <w:szCs w:val="21"/>
          <w:highlight w:val="none"/>
        </w:rPr>
      </w:pPr>
      <w:bookmarkStart w:id="35" w:name="_Toc4881"/>
      <w:bookmarkStart w:id="36" w:name="_Toc89711808"/>
      <w:bookmarkStart w:id="37" w:name="_Toc9017"/>
      <w:bookmarkStart w:id="38" w:name="_Toc8731"/>
      <w:bookmarkStart w:id="39" w:name="_Toc5970"/>
      <w:bookmarkStart w:id="40" w:name="_Toc89711809"/>
      <w:bookmarkStart w:id="41" w:name="_Toc26656"/>
      <w:bookmarkStart w:id="42" w:name="_Toc4250"/>
      <w:r>
        <w:rPr>
          <w:rFonts w:hint="eastAsia" w:ascii="宋体" w:hAnsi="宋体" w:eastAsia="宋体" w:cs="宋体"/>
          <w:color w:val="auto"/>
          <w:highlight w:val="none"/>
        </w:rPr>
        <w:t>第一章 招标公告</w:t>
      </w:r>
      <w:bookmarkEnd w:id="35"/>
      <w:bookmarkEnd w:id="36"/>
      <w:bookmarkEnd w:id="37"/>
      <w:bookmarkEnd w:id="38"/>
    </w:p>
    <w:p w14:paraId="61B22744">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center"/>
        <w:rPr>
          <w:rFonts w:hint="eastAsia" w:ascii="宋体" w:hAnsi="宋体" w:eastAsia="宋体" w:cs="宋体"/>
          <w:i w:val="0"/>
          <w:iCs w:val="0"/>
          <w:caps w:val="0"/>
          <w:color w:val="auto"/>
          <w:spacing w:val="0"/>
          <w:sz w:val="21"/>
          <w:szCs w:val="21"/>
          <w:highlight w:val="none"/>
        </w:rPr>
      </w:pPr>
      <w:r>
        <w:t>海绵宝宝空调采购（A标段）招标公告</w:t>
      </w:r>
    </w:p>
    <w:p w14:paraId="3AB5038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center"/>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b/>
          <w:bCs/>
          <w:i w:val="0"/>
          <w:iCs w:val="0"/>
          <w:caps w:val="0"/>
          <w:color w:val="auto"/>
          <w:spacing w:val="0"/>
          <w:sz w:val="21"/>
          <w:szCs w:val="21"/>
          <w:highlight w:val="none"/>
          <w:shd w:val="clear" w:color="auto" w:fill="FFFFFF"/>
        </w:rPr>
        <w:t> </w:t>
      </w:r>
    </w:p>
    <w:p w14:paraId="5BF2610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    中节能太阳能股份有限公司根据采购工作安排，就下述项目委托</w:t>
      </w:r>
      <w:r>
        <w:rPr>
          <w:rFonts w:hint="eastAsia" w:ascii="宋体" w:hAnsi="宋体" w:eastAsia="宋体" w:cs="宋体"/>
          <w:i w:val="0"/>
          <w:iCs w:val="0"/>
          <w:caps w:val="0"/>
          <w:color w:val="auto"/>
          <w:spacing w:val="0"/>
          <w:sz w:val="21"/>
          <w:szCs w:val="21"/>
          <w:highlight w:val="none"/>
          <w:shd w:val="clear" w:color="auto" w:fill="FFFFFF"/>
          <w:lang w:eastAsia="zh-CN"/>
        </w:rPr>
        <w:t>中国节能环保集团有限公司绿色供应链管理服务分公司</w:t>
      </w:r>
      <w:r>
        <w:rPr>
          <w:rFonts w:hint="eastAsia" w:ascii="宋体" w:hAnsi="宋体" w:eastAsia="宋体" w:cs="宋体"/>
          <w:i w:val="0"/>
          <w:iCs w:val="0"/>
          <w:caps w:val="0"/>
          <w:color w:val="auto"/>
          <w:spacing w:val="0"/>
          <w:sz w:val="21"/>
          <w:szCs w:val="21"/>
          <w:highlight w:val="none"/>
          <w:shd w:val="clear" w:color="auto" w:fill="FFFFFF"/>
        </w:rPr>
        <w:t>组织国内公开招标，现诚邀符合资格要求的潜在投标人参加本项目投标。</w:t>
      </w:r>
    </w:p>
    <w:p w14:paraId="6E7FB565">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lang w:eastAsia="zh-CN"/>
        </w:rPr>
      </w:pPr>
      <w:r>
        <w:rPr>
          <w:rFonts w:hint="eastAsia" w:ascii="宋体" w:hAnsi="宋体" w:eastAsia="宋体" w:cs="宋体"/>
          <w:i w:val="0"/>
          <w:iCs w:val="0"/>
          <w:caps w:val="0"/>
          <w:color w:val="auto"/>
          <w:spacing w:val="0"/>
          <w:sz w:val="21"/>
          <w:szCs w:val="21"/>
          <w:highlight w:val="none"/>
          <w:shd w:val="clear" w:color="auto" w:fill="FFFFFF"/>
        </w:rPr>
        <w:t>一、标段（包）名称：</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标段（包）名称</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color w:val="auto"/>
          <w:sz w:val="21"/>
          <w:szCs w:val="21"/>
          <w:highlight w:val="none"/>
          <w:shd w:val="clear" w:color="auto" w:fill="FFFFFF"/>
        </w:rPr>
        <w:t>（A标段）</w:t>
      </w:r>
    </w:p>
    <w:p w14:paraId="2D308370">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default" w:ascii="宋体" w:hAnsi="宋体" w:eastAsia="宋体" w:cs="宋体"/>
          <w:i w:val="0"/>
          <w:iCs w:val="0"/>
          <w:caps w:val="0"/>
          <w:color w:val="auto"/>
          <w:spacing w:val="0"/>
          <w:sz w:val="21"/>
          <w:szCs w:val="21"/>
          <w:highlight w:val="none"/>
          <w:lang w:val="en-US"/>
        </w:rPr>
      </w:pPr>
      <w:r>
        <w:rPr>
          <w:rFonts w:hint="eastAsia" w:ascii="宋体" w:hAnsi="宋体" w:eastAsia="宋体" w:cs="宋体"/>
          <w:i w:val="0"/>
          <w:iCs w:val="0"/>
          <w:caps w:val="0"/>
          <w:color w:val="auto"/>
          <w:spacing w:val="0"/>
          <w:sz w:val="21"/>
          <w:szCs w:val="21"/>
          <w:highlight w:val="none"/>
          <w:shd w:val="clear" w:color="auto" w:fill="FFFFFF"/>
        </w:rPr>
        <w:t>二、标段（包）编号：</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标段（包）编号</w:t>
      </w:r>
      <w:r>
        <w:rPr>
          <w:rFonts w:hint="default" w:ascii="宋体" w:hAnsi="宋体" w:eastAsia="宋体" w:cs="宋体"/>
          <w:i w:val="0"/>
          <w:iCs w:val="0"/>
          <w:caps w:val="0"/>
          <w:color w:val="auto"/>
          <w:spacing w:val="0"/>
          <w:sz w:val="21"/>
          <w:szCs w:val="21"/>
          <w:highlight w:val="none"/>
          <w:shd w:val="clear" w:color="auto" w:fill="FFFFFF"/>
          <w:lang w:val="en-US"/>
        </w:rPr>
        <w:t>]</w:t>
      </w:r>
    </w:p>
    <w:p w14:paraId="684B48D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default" w:ascii="宋体" w:hAnsi="宋体" w:eastAsia="宋体" w:cs="宋体"/>
          <w:i w:val="0"/>
          <w:iCs w:val="0"/>
          <w:caps w:val="0"/>
          <w:color w:val="auto"/>
          <w:spacing w:val="0"/>
          <w:sz w:val="21"/>
          <w:szCs w:val="21"/>
          <w:highlight w:val="none"/>
          <w:lang w:val="en-US"/>
        </w:rPr>
      </w:pPr>
      <w:r>
        <w:rPr>
          <w:rFonts w:hint="eastAsia" w:ascii="宋体" w:hAnsi="宋体" w:eastAsia="宋体" w:cs="宋体"/>
          <w:i w:val="0"/>
          <w:iCs w:val="0"/>
          <w:caps w:val="0"/>
          <w:color w:val="auto"/>
          <w:spacing w:val="0"/>
          <w:sz w:val="21"/>
          <w:szCs w:val="21"/>
          <w:highlight w:val="none"/>
          <w:shd w:val="clear" w:color="auto" w:fill="FFFFFF"/>
        </w:rPr>
        <w:t>三、采购方式：</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采购方式</w:t>
      </w:r>
      <w:r>
        <w:rPr>
          <w:rFonts w:hint="default" w:ascii="宋体" w:hAnsi="宋体" w:eastAsia="宋体" w:cs="宋体"/>
          <w:i w:val="0"/>
          <w:iCs w:val="0"/>
          <w:caps w:val="0"/>
          <w:color w:val="auto"/>
          <w:spacing w:val="0"/>
          <w:sz w:val="21"/>
          <w:szCs w:val="21"/>
          <w:highlight w:val="none"/>
          <w:shd w:val="clear" w:color="auto" w:fill="FFFFFF"/>
          <w:lang w:val="en-US"/>
        </w:rPr>
        <w:t>]</w:t>
      </w:r>
    </w:p>
    <w:p w14:paraId="211B421F">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default" w:ascii="宋体" w:hAnsi="宋体" w:eastAsia="宋体" w:cs="宋体"/>
          <w:i w:val="0"/>
          <w:iCs w:val="0"/>
          <w:caps w:val="0"/>
          <w:color w:val="auto"/>
          <w:spacing w:val="0"/>
          <w:sz w:val="21"/>
          <w:szCs w:val="21"/>
          <w:highlight w:val="none"/>
          <w:lang w:val="en-US" w:eastAsia="zh-CN"/>
        </w:rPr>
      </w:pPr>
      <w:r>
        <w:rPr>
          <w:rFonts w:hint="eastAsia" w:ascii="宋体" w:hAnsi="宋体" w:eastAsia="宋体" w:cs="宋体"/>
          <w:i w:val="0"/>
          <w:iCs w:val="0"/>
          <w:caps w:val="0"/>
          <w:color w:val="auto"/>
          <w:spacing w:val="0"/>
          <w:sz w:val="21"/>
          <w:szCs w:val="21"/>
          <w:highlight w:val="none"/>
          <w:shd w:val="clear" w:color="auto" w:fill="FFFFFF"/>
        </w:rPr>
        <w:t>四、招标人（采购组织人）：</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招标人（采购组织人）</w:t>
      </w:r>
      <w:r>
        <w:rPr>
          <w:rFonts w:hint="default" w:ascii="宋体" w:hAnsi="宋体" w:eastAsia="宋体" w:cs="宋体"/>
          <w:i w:val="0"/>
          <w:iCs w:val="0"/>
          <w:caps w:val="0"/>
          <w:color w:val="auto"/>
          <w:spacing w:val="0"/>
          <w:sz w:val="21"/>
          <w:szCs w:val="21"/>
          <w:highlight w:val="none"/>
          <w:shd w:val="clear" w:color="auto" w:fill="FFFFFF"/>
          <w:lang w:val="en-US"/>
        </w:rPr>
        <w:t>]</w:t>
      </w:r>
    </w:p>
    <w:p w14:paraId="7161F11F">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lang w:eastAsia="zh-CN"/>
        </w:rPr>
      </w:pPr>
      <w:r>
        <w:rPr>
          <w:rFonts w:hint="eastAsia" w:ascii="宋体" w:hAnsi="宋体" w:eastAsia="宋体" w:cs="宋体"/>
          <w:i w:val="0"/>
          <w:iCs w:val="0"/>
          <w:caps w:val="0"/>
          <w:color w:val="auto"/>
          <w:spacing w:val="0"/>
          <w:sz w:val="21"/>
          <w:szCs w:val="21"/>
          <w:highlight w:val="none"/>
          <w:shd w:val="clear" w:color="auto" w:fill="FFFFFF"/>
        </w:rPr>
        <w:t>五、代理机构：</w:t>
      </w:r>
      <w:r>
        <w:rPr>
          <w:rFonts w:hint="eastAsia" w:ascii="宋体" w:hAnsi="宋体" w:eastAsia="宋体" w:cs="宋体"/>
          <w:i w:val="0"/>
          <w:iCs w:val="0"/>
          <w:caps w:val="0"/>
          <w:color w:val="auto"/>
          <w:spacing w:val="0"/>
          <w:sz w:val="21"/>
          <w:szCs w:val="21"/>
          <w:highlight w:val="none"/>
          <w:shd w:val="clear" w:color="auto" w:fill="FFFFFF"/>
          <w:lang w:eastAsia="zh-CN"/>
        </w:rPr>
        <w:t>中国节能环保集团有限公司绿色供应链管理服务分公司</w:t>
      </w:r>
    </w:p>
    <w:p w14:paraId="648C4DC5">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六、项目概况：</w:t>
      </w:r>
    </w:p>
    <w:p w14:paraId="3942BA02">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（1）资金来源：</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资金来源</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w:t>
      </w:r>
    </w:p>
    <w:p w14:paraId="5648A8D6">
      <w:pPr>
        <w:keepNext w:val="0"/>
        <w:keepLines w:val="0"/>
        <w:widowControl w:val="0"/>
        <w:suppressLineNumbers w:val="0"/>
        <w:spacing w:before="0" w:beforeAutospacing="0" w:after="0" w:afterAutospacing="0" w:line="360" w:lineRule="auto"/>
        <w:ind w:right="0"/>
        <w:jc w:val="both"/>
        <w:rPr>
          <w:rFonts w:hint="eastAsia" w:ascii="宋体" w:hAnsi="宋体" w:eastAsia="宋体" w:cs="宋体"/>
          <w:i w:val="0"/>
          <w:iCs w:val="0"/>
          <w:caps w:val="0"/>
          <w:color w:val="auto"/>
          <w:spacing w:val="0"/>
          <w:sz w:val="21"/>
          <w:szCs w:val="21"/>
          <w:highlight w:val="none"/>
          <w:shd w:val="clear" w:color="auto" w:fill="FFFFFF"/>
        </w:rPr>
      </w:pPr>
      <w:r>
        <w:rPr>
          <w:rFonts w:hint="eastAsia" w:ascii="宋体" w:hAnsi="宋体" w:eastAsia="宋体" w:cs="宋体"/>
          <w:i w:val="0"/>
          <w:iCs w:val="0"/>
          <w:caps w:val="0"/>
          <w:color w:val="auto"/>
          <w:spacing w:val="0"/>
          <w:sz w:val="21"/>
          <w:szCs w:val="21"/>
          <w:highlight w:val="none"/>
          <w:shd w:val="clear" w:color="auto" w:fill="FFFFFF"/>
        </w:rPr>
        <w:t>（2）项目建设规模：</w:t>
      </w:r>
    </w:p>
    <w:p w14:paraId="311EC3DD">
      <w:pPr>
        <w:keepNext w:val="0"/>
        <w:keepLines w:val="0"/>
        <w:widowControl w:val="0"/>
        <w:suppressLineNumbers w:val="0"/>
        <w:spacing w:before="0" w:beforeAutospacing="0" w:after="0" w:afterAutospacing="0" w:line="360" w:lineRule="auto"/>
        <w:ind w:left="0" w:right="0" w:firstLine="420" w:firstLineChars="200"/>
        <w:jc w:val="both"/>
        <w:rPr>
          <w:rFonts w:hint="eastAsia" w:ascii="宋体" w:hAnsi="宋体" w:eastAsia="宋体" w:cs="宋体"/>
          <w:color w:val="auto"/>
          <w:szCs w:val="21"/>
          <w:highlight w:val="none"/>
          <w:u w:val="single" w:color="FFFFFF"/>
          <w:lang w:bidi="ar"/>
        </w:rPr>
      </w:pPr>
      <w:r>
        <w:rPr>
          <w:rFonts w:hint="eastAsia" w:ascii="宋体" w:hAnsi="宋体" w:eastAsia="宋体" w:cs="宋体"/>
          <w:i w:val="0"/>
          <w:iCs w:val="0"/>
          <w:caps w:val="0"/>
          <w:spacing w:val="0"/>
          <w:kern w:val="2"/>
          <w:sz w:val="21"/>
          <w:szCs w:val="21"/>
          <w:shd w:val="clear" w:color="auto" w:fill="FFFFFF"/>
          <w:lang w:val="en-US" w:eastAsia="zh-CN" w:bidi="ar"/>
        </w:rPr>
        <w:t>采购需求人（发包人）：</w:t>
      </w:r>
      <w:r>
        <w:rPr>
          <w:rFonts w:hint="default" w:ascii="宋体" w:hAnsi="宋体" w:eastAsia="宋体" w:cs="宋体"/>
          <w:i w:val="0"/>
          <w:iCs w:val="0"/>
          <w:caps w:val="0"/>
          <w:spacing w:val="0"/>
          <w:kern w:val="2"/>
          <w:sz w:val="21"/>
          <w:szCs w:val="21"/>
          <w:shd w:val="clear" w:color="auto" w:fill="FFFFFF"/>
          <w:lang w:val="en-US" w:eastAsia="zh-CN" w:bidi="ar"/>
        </w:rPr>
        <w:t>[</w:t>
      </w:r>
      <w:r>
        <w:rPr>
          <w:rFonts w:hint="eastAsia" w:ascii="宋体" w:hAnsi="宋体" w:eastAsia="宋体" w:cs="宋体"/>
          <w:i w:val="0"/>
          <w:iCs w:val="0"/>
          <w:caps w:val="0"/>
          <w:spacing w:val="0"/>
          <w:kern w:val="2"/>
          <w:sz w:val="21"/>
          <w:szCs w:val="21"/>
          <w:shd w:val="clear" w:color="auto" w:fill="FFFFFF"/>
          <w:lang w:val="en-US" w:eastAsia="zh-CN" w:bidi="ar"/>
        </w:rPr>
        <w:t>采购需求人（发包人）</w:t>
      </w:r>
      <w:r>
        <w:rPr>
          <w:rFonts w:hint="default" w:ascii="宋体" w:hAnsi="宋体" w:eastAsia="宋体" w:cs="宋体"/>
          <w:i w:val="0"/>
          <w:iCs w:val="0"/>
          <w:caps w:val="0"/>
          <w:spacing w:val="0"/>
          <w:kern w:val="2"/>
          <w:sz w:val="21"/>
          <w:szCs w:val="21"/>
          <w:shd w:val="clear" w:color="auto" w:fill="FFFFFF"/>
          <w:lang w:val="en-US" w:eastAsia="zh-CN" w:bidi="ar"/>
        </w:rPr>
        <w:t>]</w:t>
      </w:r>
      <w:r>
        <w:rPr>
          <w:rFonts w:hint="eastAsia" w:ascii="宋体" w:hAnsi="宋体" w:eastAsia="宋体" w:cs="宋体"/>
          <w:color w:val="auto"/>
          <w:szCs w:val="21"/>
          <w:highlight w:val="none"/>
          <w:u w:val="single" w:color="FFFFFF"/>
          <w:lang w:bidi="ar"/>
        </w:rPr>
        <w:t>。</w:t>
      </w:r>
    </w:p>
    <w:p w14:paraId="1C24F434">
      <w:pPr>
        <w:pStyle w:val="2"/>
        <w:ind w:firstLine="892" w:firstLineChars="425"/>
        <w:rPr>
          <w:rFonts w:hint="default"/>
          <w:lang w:val="en-US" w:eastAsia="zh-CN"/>
        </w:rPr>
      </w:pPr>
      <w:r>
        <w:t>项目建设规模：空调采购项目建设规模描述如下：</w:t>
        <w:br/>
        <w:br/>
        <w:t>项目名称：空调采购项目</w:t>
        <w:br/>
        <w:br/>
        <w:t>项目地点：北京西城区</w:t>
        <w:br/>
        <w:br/>
        <w:t>项目建设规模及主要组成部分：</w:t>
        <w:br/>
        <w:br/>
        <w:t>一、项目概述</w:t>
        <w:br/>
        <w:br/>
        <w:t>本空调采购项目旨在北京西城区范围内建设和完善空调系统，以满足区域内的空调需求。</w:t>
        <w:br/>
        <w:br/>
        <w:t>二、主要组成部分</w:t>
        <w:br/>
        <w:br/>
        <w:t>1. 空调设备：包括室内机和室外机，负责空气调节和制冷制热功能。</w:t>
        <w:br/>
        <w:t>2. 管道系统：连接空调设备，实现冷热空气的传输。</w:t>
        <w:br/>
        <w:t>3. 控制系统：控制空调设备的运行，实现自动化管理。</w:t>
        <w:br/>
        <w:br/>
        <w:t>三、功能</w:t>
        <w:br/>
        <w:br/>
        <w:t>本项目的主要功能是为北京西城区的建筑物提供舒适的室内环境，包括制冷、制热、通风和空气湿度调节等功能。</w:t>
        <w:br/>
        <w:br/>
        <w:t>以上为本项目的建设规模及主要组成部分描述，严格正式，符合采购文件的合同规范。</w:t>
      </w:r>
    </w:p>
    <w:p w14:paraId="19771534">
      <w:pPr>
        <w:pStyle w:val="102"/>
        <w:tabs>
          <w:tab w:val="left" w:pos="6300"/>
        </w:tabs>
        <w:spacing w:before="0" w:beforeLines="0" w:beforeAutospacing="0" w:after="0" w:afterLines="0" w:afterAutospacing="0"/>
        <w:ind w:left="0" w:leftChars="0" w:firstLine="0" w:firstLineChars="0"/>
        <w:rPr>
          <w:rFonts w:hint="default" w:ascii="宋体" w:hAnsi="宋体" w:eastAsia="宋体" w:cs="宋体"/>
          <w:i w:val="0"/>
          <w:iCs w:val="0"/>
          <w:caps w:val="0"/>
          <w:color w:val="auto"/>
          <w:spacing w:val="0"/>
          <w:sz w:val="21"/>
          <w:szCs w:val="21"/>
          <w:highlight w:val="none"/>
          <w:lang w:val="en-US"/>
        </w:rPr>
      </w:pPr>
      <w:r>
        <w:t>七、本次招标范围及内容：招标范围及内容：</w:t>
        <w:br/>
        <w:br/>
        <w:t>本次招标项目涵盖XX工程的勘察、设计、采购及施工等全部工作内容。具体包括但不限于地形勘察、地质评估、工程规划设计、材料采购、施工安装及竣工验收等各个环节。招标项目起点为XXXX年XX月XX日，项目终点为XXXX年XX月XX日，总工期预计为约XX个月。期间需确保工程质量和进度，按时交付验收合格的项目成果。请各投标单位按照相关法规和规范要求，提供满足工程需求的各项服务。本次招标将严格按照采购文件的合同规范执行，确保公开、公平、公正。请各投标单位严格按照招标文件要求编制投标文件，确保内容真实有效。</w:t>
      </w:r>
    </w:p>
    <w:p w14:paraId="6EF00492">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八、本次招标项目建设地点：</w:t>
      </w:r>
      <w:r>
        <w:rPr>
          <w:rFonts w:hint="default" w:ascii="宋体" w:hAnsi="宋体" w:eastAsia="宋体" w:cs="宋体"/>
          <w:i w:val="0"/>
          <w:iCs w:val="0"/>
          <w:caps w:val="0"/>
          <w:color w:val="auto"/>
          <w:spacing w:val="0"/>
          <w:sz w:val="21"/>
          <w:szCs w:val="21"/>
          <w:highlight w:val="none"/>
          <w:shd w:val="clear" w:color="auto" w:fill="FFFFFF"/>
          <w:lang w:val="en-US" w:eastAsia="zh-CN"/>
        </w:rPr>
        <w:t>[</w:t>
      </w:r>
      <w:r>
        <w:rPr>
          <w:rFonts w:hint="eastAsia" w:ascii="宋体" w:hAnsi="宋体" w:eastAsia="宋体" w:cs="宋体"/>
          <w:i w:val="0"/>
          <w:iCs w:val="0"/>
          <w:caps w:val="0"/>
          <w:color w:val="auto"/>
          <w:spacing w:val="0"/>
          <w:sz w:val="21"/>
          <w:szCs w:val="21"/>
          <w:highlight w:val="none"/>
          <w:shd w:val="clear" w:color="auto" w:fill="FFFFFF"/>
        </w:rPr>
        <w:t>本次招标项目建设地点</w:t>
      </w:r>
      <w:r>
        <w:rPr>
          <w:rFonts w:hint="default" w:ascii="宋体" w:hAnsi="宋体" w:eastAsia="宋体" w:cs="宋体"/>
          <w:i w:val="0"/>
          <w:iCs w:val="0"/>
          <w:caps w:val="0"/>
          <w:color w:val="auto"/>
          <w:spacing w:val="0"/>
          <w:sz w:val="21"/>
          <w:szCs w:val="21"/>
          <w:highlight w:val="none"/>
          <w:shd w:val="clear" w:color="auto" w:fill="FFFFFF"/>
          <w:lang w:val="en-US" w:eastAsia="zh-CN"/>
        </w:rPr>
        <w:t>]</w:t>
      </w:r>
      <w:r>
        <w:rPr>
          <w:rFonts w:hint="eastAsia" w:ascii="宋体" w:hAnsi="宋体" w:eastAsia="宋体" w:cs="宋体"/>
          <w:i w:val="0"/>
          <w:iCs w:val="0"/>
          <w:caps w:val="0"/>
          <w:color w:val="auto"/>
          <w:spacing w:val="0"/>
          <w:sz w:val="21"/>
          <w:szCs w:val="21"/>
          <w:highlight w:val="none"/>
          <w:shd w:val="clear" w:color="auto" w:fill="FFFFFF"/>
        </w:rPr>
        <w:t>。</w:t>
      </w:r>
    </w:p>
    <w:p w14:paraId="69ACB99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rPr>
      </w:pPr>
      <w:r>
        <w:rPr>
          <w:rFonts w:hint="eastAsia" w:ascii="宋体" w:hAnsi="宋体" w:eastAsia="宋体" w:cs="宋体"/>
          <w:i w:val="0"/>
          <w:iCs w:val="0"/>
          <w:caps w:val="0"/>
          <w:color w:val="auto"/>
          <w:spacing w:val="0"/>
          <w:sz w:val="21"/>
          <w:szCs w:val="21"/>
          <w:highlight w:val="none"/>
          <w:shd w:val="clear" w:color="auto" w:fill="FFFFFF"/>
        </w:rPr>
        <w:t>九、工期要求：</w:t>
      </w:r>
    </w:p>
    <w:p w14:paraId="6D3D91D8">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rPr>
      </w:pPr>
      <w:r>
        <w:t>关于工期要求的描述如下：</w:t>
        <w:br/>
        <w:br/>
        <w:t>本项目要求严格遵循合同规范，确保工期按期完成。项目的计划并网日期为XXXX年XX月XX日，确保按时投入使用。土建工程部分，需于XXXX年XX月XX日前完成所有工作，以保证工程进度与质量。总工期要求自项目开工之日起至竣工并网之日止，全程紧密协作，高效执行，确保在XXXX年XX月XX日前全面完成项目建设。各参建单位应严格按照此工期要求执行，确保项目按期交付使用，任何延期情况需经甲方同意并签署相关协议。</w:t>
      </w:r>
    </w:p>
    <w:p w14:paraId="1F576B58">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十、：对投标人的资格要求</w:t>
      </w:r>
    </w:p>
    <w:p w14:paraId="294A4DE5">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1.资质要求：</w:t>
      </w:r>
    </w:p>
    <w:p w14:paraId="4A6BD350">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default" w:ascii="宋体" w:hAnsi="宋体" w:cs="宋体"/>
          <w:i w:val="0"/>
          <w:iCs w:val="0"/>
          <w:caps w:val="0"/>
          <w:spacing w:val="0"/>
          <w:kern w:val="2"/>
          <w:sz w:val="21"/>
          <w:szCs w:val="21"/>
          <w:shd w:val="clear" w:color="auto" w:fill="FFFFFF"/>
          <w:lang w:val="en-US" w:eastAsia="zh-CN" w:bidi="ar"/>
        </w:rPr>
      </w:pPr>
      <w:r>
        <w:t>关于投标人资质要求，需满足以下要求：</w:t>
        <w:br/>
        <w:br/>
        <w:t>一、设计资质要求：投标人必须具备独立法人资格，持有有效的设计资质证书。具备相应的设计能力，拥有充足的设计经验，并能够完成相应等级的设计任务。团队应具备相关技术资质，包括但不限于注册建筑师、结构工程师等。</w:t>
        <w:br/>
        <w:br/>
        <w:t>二、施工资质要求：投标人须拥有合法施工资质，持有有效的营业执照和安全生产许可证。必须有丰富的施工经验，技术实力达标，能按时高质量完成施工任务。投标人应配备足够数量的合格施工人员，如项目经理、施工员等，保证工程质量和进度。</w:t>
        <w:br/>
        <w:br/>
        <w:t>以上为投标人的基本资质要求，如有不满足上述条件者，将不予受理。</w:t>
      </w:r>
    </w:p>
    <w:p w14:paraId="7F7DDC43">
      <w:pPr>
        <w:pStyle w:val="3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rPr>
      </w:pPr>
      <w:r>
        <w:rPr>
          <w:rFonts w:hint="eastAsia" w:ascii="宋体" w:hAnsi="宋体" w:eastAsia="宋体" w:cs="宋体"/>
          <w:i w:val="0"/>
          <w:iCs w:val="0"/>
          <w:caps w:val="0"/>
          <w:color w:val="auto"/>
          <w:spacing w:val="0"/>
          <w:sz w:val="21"/>
          <w:szCs w:val="21"/>
          <w:highlight w:val="none"/>
          <w:shd w:val="clear" w:color="auto" w:fill="FFFFFF"/>
        </w:rPr>
        <w:t>财务要求：</w:t>
      </w:r>
    </w:p>
    <w:p w14:paraId="1C8ACB39">
      <w:pPr>
        <w:pStyle w:val="3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Chars="0" w:right="0" w:rightChars="0"/>
        <w:jc w:val="both"/>
        <w:rPr>
          <w:rFonts w:hint="eastAsia" w:ascii="宋体" w:hAnsi="宋体" w:eastAsia="宋体" w:cs="宋体"/>
          <w:i w:val="0"/>
          <w:iCs w:val="0"/>
          <w:caps w:val="0"/>
          <w:color w:val="auto"/>
          <w:spacing w:val="0"/>
          <w:sz w:val="21"/>
          <w:szCs w:val="21"/>
          <w:highlight w:val="none"/>
          <w:shd w:val="clear" w:color="auto" w:fill="FFFFFF"/>
        </w:rPr>
      </w:pPr>
      <w:r>
        <w:t>关于财务要求的具体描述如下：</w:t>
        <w:br/>
        <w:br/>
        <w:t>投标人必须提供近三年的财务审计报告和财务报表，内容包括：</w:t>
        <w:br/>
        <w:br/>
        <w:t>一、资产负债表：列明投标人资产与负债状况，反映其经济实力和偿债能力。</w:t>
        <w:br/>
        <w:br/>
        <w:t>二、利润表：体现投标人的收入、成本和利润情况，证明其盈利能力。</w:t>
        <w:br/>
        <w:br/>
        <w:t>三、现金流量表：展示投标人的现金流入流出状况，反映其资金运作能力。</w:t>
        <w:br/>
        <w:br/>
        <w:t>四、财务审计报告：由有资质的会计师事务所出具，对投标人的财务状况进行全面审计并给出评价。</w:t>
        <w:br/>
        <w:br/>
        <w:t>以上资料需真实、完整，并加盖投标人公章。如有虚假，将视为违约，承担相应责任。请各投标人严格按照此要求提供相关资料。</w:t>
      </w:r>
    </w:p>
    <w:p w14:paraId="74738BE6">
      <w:pPr>
        <w:pStyle w:val="3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Chars="0" w:right="0" w:rightChars="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3.业绩要求：</w:t>
      </w:r>
    </w:p>
    <w:p w14:paraId="6F432BCB">
      <w:pPr>
        <w:pStyle w:val="3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Chars="0" w:right="0" w:rightChars="0"/>
        <w:jc w:val="both"/>
        <w:rPr>
          <w:rFonts w:hint="eastAsia" w:ascii="宋体" w:hAnsi="宋体" w:eastAsia="宋体" w:cs="宋体"/>
          <w:i w:val="0"/>
          <w:iCs w:val="0"/>
          <w:caps w:val="0"/>
          <w:color w:val="auto"/>
          <w:spacing w:val="0"/>
          <w:sz w:val="21"/>
          <w:szCs w:val="21"/>
          <w:highlight w:val="none"/>
          <w:shd w:val="clear" w:color="auto" w:fill="FFFFFF"/>
        </w:rPr>
      </w:pPr>
      <w:r>
        <w:t>业绩要求说明：</w:t>
        <w:br/>
        <w:br/>
        <w:t>一、设计业绩要求：</w:t>
        <w:br/>
        <w:br/>
        <w:t>1. 应聘者需提供近五年内完成的至少五个类似项目的设计经验证明，包括设计合同、验收报告及相应业绩证明文件。</w:t>
        <w:br/>
        <w:t>2. 设计方案需具备创新性、实用性和良好的市场反馈。</w:t>
        <w:br/>
        <w:br/>
        <w:t>二、施工业绩要求：</w:t>
        <w:br/>
        <w:br/>
        <w:t>1. 应聘者需提供近三年来完成的至少三个类似项目的施工经验证明，包括施工合同、竣工验收报告及质量评价报告等证明材料。</w:t>
        <w:br/>
        <w:t>2. 施工过程需符合安全生产标准，工程质量应达到国家或地方规定的标准。</w:t>
        <w:br/>
        <w:br/>
        <w:t>所提供的所有证明材料需真实有效，如有虚假，将取消应聘资格。本要求为合同重要组成部分，请各应聘者严格遵守。</w:t>
      </w:r>
    </w:p>
    <w:p w14:paraId="1A42619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4.信誉要求：</w:t>
      </w:r>
    </w:p>
    <w:p w14:paraId="37F58245">
      <w:pPr>
        <w:pStyle w:val="3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Chars="0" w:right="0" w:rightChars="0"/>
        <w:jc w:val="both"/>
        <w:rPr>
          <w:rFonts w:hint="eastAsia" w:ascii="宋体" w:hAnsi="宋体" w:eastAsia="宋体" w:cs="宋体"/>
          <w:i w:val="0"/>
          <w:iCs w:val="0"/>
          <w:caps w:val="0"/>
          <w:color w:val="auto"/>
          <w:spacing w:val="0"/>
          <w:sz w:val="21"/>
          <w:szCs w:val="21"/>
          <w:highlight w:val="none"/>
          <w:shd w:val="clear" w:color="auto" w:fill="FFFFFF"/>
        </w:rPr>
      </w:pPr>
      <w:r>
        <w:t>信誉要求说明如下：</w:t>
        <w:br/>
        <w:br/>
        <w:t>一、投标人须具备高度的诚信品质，不得存在任何违反信用行为，当前未被列入失信被执行人名单，以维护市场公平和交易安全。</w:t>
        <w:br/>
        <w:br/>
        <w:t>二、投标人须严格遵守安全生产相关法律法规，确保生产过程安全无事故。投标人不得被列入安全生产黑名单，必须提供可靠的安全生产保障措施和事故应急预案。</w:t>
        <w:br/>
        <w:br/>
        <w:t>三、投标人的信誉状况将作为评审的重要依据之一，对于存在不良信用记录或安全生产违规行为的企业，将严格按照相关规定进行处置，确保项目顺利进行。</w:t>
        <w:br/>
        <w:br/>
        <w:t>以上要求为硬性原则，请各投标人严格遵守。</w:t>
      </w:r>
    </w:p>
    <w:p w14:paraId="764FE254">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5.项目管理人员资格要求：</w:t>
      </w:r>
    </w:p>
    <w:p w14:paraId="7A238E9A">
      <w:pPr>
        <w:pStyle w:val="3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Chars="0" w:right="0" w:rightChars="0"/>
        <w:jc w:val="both"/>
        <w:rPr>
          <w:rFonts w:hint="eastAsia" w:ascii="宋体" w:hAnsi="宋体" w:eastAsia="宋体" w:cs="宋体"/>
          <w:i w:val="0"/>
          <w:iCs w:val="0"/>
          <w:caps w:val="0"/>
          <w:color w:val="auto"/>
          <w:spacing w:val="0"/>
          <w:sz w:val="21"/>
          <w:szCs w:val="21"/>
          <w:highlight w:val="none"/>
          <w:shd w:val="clear" w:color="auto" w:fill="FFFFFF"/>
          <w:lang w:eastAsia="zh-CN"/>
        </w:rPr>
      </w:pPr>
      <w:r>
        <w:t>关于项目管理人员资格要求的描述如下：</w:t>
        <w:br/>
        <w:br/>
        <w:t>一、项目经理：需具备本科及以上学历，持有注册建造师资格证书，并具备五年以上相关工作经验。熟悉项目全过程管理，具备较强的沟通协调能力和团队管理能力。</w:t>
        <w:br/>
        <w:br/>
        <w:t>二、设计负责人：需具备设计相关专业本科及以上学历，拥有高级设计师职称或相关职业资格证书。具备丰富的设计经验和创新思维，能够独立完成项目设计工作。</w:t>
        <w:br/>
        <w:br/>
        <w:t>三、施工负责人：需具备大专及以上学历，持有施工员上岗证等相关职业资格证书。熟悉施工现场管理，具备丰富的施工经验和专业技能。</w:t>
        <w:br/>
        <w:br/>
        <w:t>以上人员需提供相关学历证书、职业资格证书、工作经验证明等材料。项目管理人员需保证在项目执行期间全职参与本项目工作。</w:t>
      </w:r>
    </w:p>
    <w:p w14:paraId="190E21FF">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6.其他要求：</w:t>
      </w:r>
    </w:p>
    <w:p w14:paraId="5525B567">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6.1单位负责人为同一人或者存在控股、管理关系的不同单位，不得同时参加本项目投标，也不得分别组成不同联合体参加本项目投标，否则，相关投标均无效；但可以组成一个联合体，以一个投标人的身份共同投标（此条“共同投标”不属于同时投标，是以一个投标人身份投标）。联合体各方签订联合体协议书后，不得再以自己名义单独投标，也不得组成新的联合体或参加其他联合体在本项目中投标，否则相关投标均无效。</w:t>
      </w:r>
    </w:p>
    <w:p w14:paraId="1DA8A17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6.2联合体投标的相关规定：</w:t>
      </w:r>
    </w:p>
    <w:p w14:paraId="164056E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1）联合体各方均应当具备承担本招标项目的相应能力，达到招标公告“十、对投标人的资格要求”中的相应要求，且须由满足招标公告“十、对投标人的资格要求”1.资质要求中相应资质的设计单位和施工单位组成联合体，由同一专业的单位组成的联合体，按照资质等级较低的单位确定资质等级。</w:t>
      </w:r>
    </w:p>
    <w:p w14:paraId="1E8DC108">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2）联合体各方应当签订联合体协议书，明确约定各方拟承担的工作和责任，并将联合体协议书连同投标文件（具体格式详见本项目招标文件第七章投标文件格式）一并提交招标人，本项目联合体所有成员总数不得超出</w:t>
      </w:r>
      <w:r>
        <w:rPr>
          <w:rFonts w:hint="eastAsia" w:ascii="宋体" w:hAnsi="宋体" w:eastAsia="宋体" w:cs="宋体"/>
          <w:i w:val="0"/>
          <w:iCs w:val="0"/>
          <w:caps w:val="0"/>
          <w:color w:val="auto"/>
          <w:spacing w:val="0"/>
          <w:sz w:val="21"/>
          <w:szCs w:val="21"/>
          <w:highlight w:val="none"/>
          <w:shd w:val="clear" w:color="auto" w:fill="FFFFFF"/>
          <w:lang w:val="en-US" w:eastAsia="zh-CN"/>
        </w:rPr>
        <w:t>两</w:t>
      </w:r>
      <w:r>
        <w:rPr>
          <w:rFonts w:hint="eastAsia" w:ascii="宋体" w:hAnsi="宋体" w:eastAsia="宋体" w:cs="宋体"/>
          <w:i w:val="0"/>
          <w:iCs w:val="0"/>
          <w:caps w:val="0"/>
          <w:color w:val="auto"/>
          <w:spacing w:val="0"/>
          <w:sz w:val="21"/>
          <w:szCs w:val="21"/>
          <w:highlight w:val="none"/>
          <w:shd w:val="clear" w:color="auto" w:fill="FFFFFF"/>
        </w:rPr>
        <w:t>个，以一个投标人的身份共同投标。</w:t>
      </w:r>
    </w:p>
    <w:p w14:paraId="7725E873">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3）联合体各方在同一招标项目中以自己名义单独投标或者参加其他联合体投标的，相关投标均无效。</w:t>
      </w:r>
    </w:p>
    <w:p w14:paraId="19A659C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4）单位负责人为同一人或者存在控股、管理关系的不同单位，不得分别组成不同联合体参加本项目投标，否则相关投标均无效。</w:t>
      </w:r>
    </w:p>
    <w:p w14:paraId="330D013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5）联合体牵头人负责办理本项目的投标相关业务：包括获取招标文件、递交投标保证金、投标文件的盖章、签字等工作。获取招标文件的联合体牵头人信息应与投标时的信息保持一致。</w:t>
      </w:r>
    </w:p>
    <w:p w14:paraId="2BB31E2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6）联合体中标的，联合体各方应当共同与发包人签订合同，就中标项目向发包人承担连带责任。</w:t>
      </w:r>
    </w:p>
    <w:p w14:paraId="68EB285F">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6.3本项目招标文件（含附件）中“至今”指“至投标截止时间”。</w:t>
      </w:r>
    </w:p>
    <w:p w14:paraId="6931A863">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十一、是否允许联合体投标：本标段允许联合体投标</w:t>
      </w:r>
    </w:p>
    <w:p w14:paraId="560BF081">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十二、资格审查方式：资格后审</w:t>
      </w:r>
    </w:p>
    <w:p w14:paraId="79E7F636">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十三、招标文件的获取：</w:t>
      </w:r>
    </w:p>
    <w:p w14:paraId="3AC2727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default" w:ascii="宋体" w:hAnsi="宋体" w:eastAsia="宋体" w:cs="宋体"/>
          <w:i w:val="0"/>
          <w:iCs w:val="0"/>
          <w:caps w:val="0"/>
          <w:color w:val="auto"/>
          <w:spacing w:val="0"/>
          <w:sz w:val="21"/>
          <w:szCs w:val="21"/>
          <w:highlight w:val="none"/>
          <w:lang w:val="en-US"/>
        </w:rPr>
      </w:pPr>
      <w:r>
        <w:rPr>
          <w:rFonts w:hint="eastAsia" w:ascii="宋体" w:hAnsi="宋体" w:eastAsia="宋体" w:cs="宋体"/>
          <w:i w:val="0"/>
          <w:iCs w:val="0"/>
          <w:caps w:val="0"/>
          <w:color w:val="auto"/>
          <w:spacing w:val="0"/>
          <w:sz w:val="21"/>
          <w:szCs w:val="21"/>
          <w:highlight w:val="none"/>
          <w:shd w:val="clear" w:color="auto" w:fill="FFFFFF"/>
        </w:rPr>
        <w:t>（1）招标文件获取截止时间：</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招标文件获取截止时间</w:t>
      </w:r>
      <w:r>
        <w:rPr>
          <w:rFonts w:hint="default" w:ascii="宋体" w:hAnsi="宋体" w:eastAsia="宋体" w:cs="宋体"/>
          <w:i w:val="0"/>
          <w:iCs w:val="0"/>
          <w:caps w:val="0"/>
          <w:color w:val="auto"/>
          <w:spacing w:val="0"/>
          <w:sz w:val="21"/>
          <w:szCs w:val="21"/>
          <w:highlight w:val="none"/>
          <w:shd w:val="clear" w:color="auto" w:fill="FFFFFF"/>
          <w:lang w:val="en-US"/>
        </w:rPr>
        <w:t>]</w:t>
      </w:r>
    </w:p>
    <w:p w14:paraId="1816799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（2）招标文件获取方式：通过中国节能环保集团有限公司电子采购平台（http://www.ebidding.cecep.cn/）选择本项目进行报名，完成平台服务费缴纳后，直接下载招标文件。</w:t>
      </w:r>
    </w:p>
    <w:p w14:paraId="67CFC7F2">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十四、投标文件的递交：投标人须在投标截止时间前通过中国节能环保集团有限公司电子采购平台投标文件递交菜单（http://www.ebidding.cecep.cn/TPBidder）线上递交投标文件。</w:t>
      </w:r>
    </w:p>
    <w:p w14:paraId="3B76EC0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十五、开标时间（暨投标截止时间）及地点：</w:t>
      </w:r>
    </w:p>
    <w:p w14:paraId="20B2C536">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default" w:ascii="宋体" w:hAnsi="宋体" w:eastAsia="宋体" w:cs="宋体"/>
          <w:i w:val="0"/>
          <w:iCs w:val="0"/>
          <w:caps w:val="0"/>
          <w:color w:val="auto"/>
          <w:spacing w:val="0"/>
          <w:sz w:val="21"/>
          <w:szCs w:val="21"/>
          <w:highlight w:val="none"/>
          <w:lang w:val="en-US"/>
        </w:rPr>
      </w:pPr>
      <w:r>
        <w:rPr>
          <w:rFonts w:hint="eastAsia" w:ascii="宋体" w:hAnsi="宋体" w:eastAsia="宋体" w:cs="宋体"/>
          <w:i w:val="0"/>
          <w:iCs w:val="0"/>
          <w:caps w:val="0"/>
          <w:color w:val="auto"/>
          <w:spacing w:val="0"/>
          <w:sz w:val="21"/>
          <w:szCs w:val="21"/>
          <w:highlight w:val="none"/>
          <w:shd w:val="clear" w:color="auto" w:fill="FFFFFF"/>
        </w:rPr>
        <w:t>（1）开标时间：</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开标时间</w:t>
      </w:r>
      <w:r>
        <w:rPr>
          <w:rFonts w:hint="default" w:ascii="宋体" w:hAnsi="宋体" w:eastAsia="宋体" w:cs="宋体"/>
          <w:i w:val="0"/>
          <w:iCs w:val="0"/>
          <w:caps w:val="0"/>
          <w:color w:val="auto"/>
          <w:spacing w:val="0"/>
          <w:sz w:val="21"/>
          <w:szCs w:val="21"/>
          <w:highlight w:val="none"/>
          <w:shd w:val="clear" w:color="auto" w:fill="FFFFFF"/>
          <w:lang w:val="en-US"/>
        </w:rPr>
        <w:t>]</w:t>
      </w:r>
    </w:p>
    <w:p w14:paraId="23C4ACE3">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（2）开标地点：通过中国节能环保集团有限公司电子采购平台（http://www.ebidding.cecep.cn/）在线开标。</w:t>
      </w:r>
    </w:p>
    <w:p w14:paraId="5ACC517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（3）开标方式：通过中国节能环保集团有限公司电子采购平台（http://www.ebidding.cecep.cn/）在线开标</w:t>
      </w:r>
      <w:r>
        <w:rPr>
          <w:rFonts w:hint="eastAsia" w:ascii="宋体" w:hAnsi="宋体" w:eastAsia="宋体" w:cs="宋体"/>
          <w:b/>
          <w:bCs/>
          <w:color w:val="auto"/>
          <w:sz w:val="21"/>
          <w:szCs w:val="21"/>
          <w:highlight w:val="none"/>
          <w:shd w:val="clear" w:color="auto" w:fill="FFFFFF"/>
        </w:rPr>
        <w:t>（腾讯会议号：</w:t>
      </w:r>
      <w:r>
        <w:rPr>
          <w:rFonts w:hint="default" w:ascii="宋体" w:hAnsi="宋体" w:eastAsia="宋体" w:cs="宋体"/>
          <w:b/>
          <w:bCs/>
          <w:color w:val="auto"/>
          <w:sz w:val="21"/>
          <w:szCs w:val="21"/>
          <w:highlight w:val="none"/>
          <w:shd w:val="clear" w:color="auto" w:fill="FFFFFF"/>
          <w:lang w:val="en-US"/>
        </w:rPr>
        <w:t>[</w:t>
      </w:r>
      <w:r>
        <w:rPr>
          <w:rFonts w:hint="eastAsia" w:ascii="宋体" w:hAnsi="宋体" w:eastAsia="宋体" w:cs="宋体"/>
          <w:b/>
          <w:bCs/>
          <w:color w:val="auto"/>
          <w:sz w:val="21"/>
          <w:szCs w:val="21"/>
          <w:highlight w:val="none"/>
          <w:shd w:val="clear" w:color="auto" w:fill="FFFFFF"/>
        </w:rPr>
        <w:t>腾讯会议号</w:t>
      </w:r>
      <w:r>
        <w:rPr>
          <w:rFonts w:hint="default" w:ascii="宋体" w:hAnsi="宋体" w:eastAsia="宋体" w:cs="宋体"/>
          <w:b/>
          <w:bCs/>
          <w:color w:val="auto"/>
          <w:sz w:val="21"/>
          <w:szCs w:val="21"/>
          <w:highlight w:val="none"/>
          <w:shd w:val="clear" w:color="auto" w:fill="FFFFFF"/>
          <w:lang w:val="en-US"/>
        </w:rPr>
        <w:t>]</w:t>
      </w:r>
      <w:r>
        <w:rPr>
          <w:rFonts w:hint="eastAsia" w:ascii="宋体" w:hAnsi="宋体" w:eastAsia="宋体" w:cs="宋体"/>
          <w:b/>
          <w:bCs/>
          <w:color w:val="auto"/>
          <w:sz w:val="21"/>
          <w:szCs w:val="21"/>
          <w:highlight w:val="none"/>
          <w:shd w:val="clear" w:color="auto" w:fill="FFFFFF"/>
        </w:rPr>
        <w:t>）</w:t>
      </w:r>
      <w:r>
        <w:rPr>
          <w:rFonts w:hint="eastAsia" w:ascii="宋体" w:hAnsi="宋体" w:eastAsia="宋体" w:cs="宋体"/>
          <w:i w:val="0"/>
          <w:iCs w:val="0"/>
          <w:caps w:val="0"/>
          <w:color w:val="auto"/>
          <w:spacing w:val="0"/>
          <w:sz w:val="21"/>
          <w:szCs w:val="21"/>
          <w:highlight w:val="none"/>
          <w:shd w:val="clear" w:color="auto" w:fill="FFFFFF"/>
        </w:rPr>
        <w:t>。投标人须持数字证书（CA）在线参加开标会议并进行远程解锁及开标确认操作。</w:t>
      </w:r>
    </w:p>
    <w:p w14:paraId="279A6158">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十六、投标保证金：</w:t>
      </w:r>
    </w:p>
    <w:p w14:paraId="012E5889">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（1）投标保证金金额：人民币600000.0元</w:t>
      </w:r>
    </w:p>
    <w:p w14:paraId="27359CD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（2）接收投标保证金账户信息：</w:t>
      </w:r>
    </w:p>
    <w:p w14:paraId="4B7E13A3">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eastAsia" w:ascii="宋体" w:hAnsi="宋体" w:eastAsia="宋体" w:cs="宋体"/>
          <w:i w:val="0"/>
          <w:iCs w:val="0"/>
          <w:caps w:val="0"/>
          <w:color w:val="auto"/>
          <w:spacing w:val="0"/>
          <w:sz w:val="21"/>
          <w:szCs w:val="21"/>
          <w:highlight w:val="none"/>
          <w:lang w:eastAsia="zh-CN"/>
        </w:rPr>
      </w:pPr>
      <w:r>
        <w:rPr>
          <w:rFonts w:hint="eastAsia" w:ascii="宋体" w:hAnsi="宋体" w:eastAsia="宋体" w:cs="宋体"/>
          <w:i w:val="0"/>
          <w:iCs w:val="0"/>
          <w:caps w:val="0"/>
          <w:color w:val="auto"/>
          <w:spacing w:val="0"/>
          <w:sz w:val="21"/>
          <w:szCs w:val="21"/>
          <w:highlight w:val="none"/>
          <w:shd w:val="clear" w:color="auto" w:fill="FFFFFF"/>
        </w:rPr>
        <w:t>收款账户名称：</w:t>
      </w:r>
      <w:r>
        <w:rPr>
          <w:rFonts w:hint="eastAsia" w:ascii="宋体" w:hAnsi="宋体" w:eastAsia="宋体" w:cs="宋体"/>
          <w:i w:val="0"/>
          <w:iCs w:val="0"/>
          <w:caps w:val="0"/>
          <w:color w:val="auto"/>
          <w:spacing w:val="0"/>
          <w:sz w:val="21"/>
          <w:szCs w:val="21"/>
          <w:highlight w:val="none"/>
          <w:shd w:val="clear" w:color="auto" w:fill="FFFFFF"/>
          <w:lang w:eastAsia="zh-CN"/>
        </w:rPr>
        <w:t>中国节能环保集团有限公司绿色供应链管理服务分公司</w:t>
      </w:r>
    </w:p>
    <w:p w14:paraId="79D1D336">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开户银行：</w:t>
      </w:r>
      <w:r>
        <w:rPr>
          <w:rFonts w:hint="eastAsia" w:ascii="宋体" w:hAnsi="宋体" w:eastAsia="宋体" w:cs="宋体"/>
          <w:color w:val="auto"/>
          <w:sz w:val="21"/>
          <w:szCs w:val="21"/>
          <w:highlight w:val="none"/>
          <w:shd w:val="clear" w:color="auto" w:fill="FFFFFF"/>
        </w:rPr>
        <w:t>上海浦东发展银行股份有限公司北京海淀园支行</w:t>
      </w:r>
    </w:p>
    <w:p w14:paraId="123891D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default" w:ascii="宋体" w:hAnsi="宋体" w:eastAsia="宋体" w:cs="宋体"/>
          <w:i w:val="0"/>
          <w:iCs w:val="0"/>
          <w:caps w:val="0"/>
          <w:color w:val="auto"/>
          <w:spacing w:val="0"/>
          <w:sz w:val="21"/>
          <w:szCs w:val="21"/>
          <w:highlight w:val="none"/>
          <w:lang w:val="en-US" w:eastAsia="zh-CN"/>
        </w:rPr>
      </w:pPr>
      <w:r>
        <w:rPr>
          <w:rFonts w:hint="eastAsia" w:ascii="宋体" w:hAnsi="宋体" w:eastAsia="宋体" w:cs="宋体"/>
          <w:i w:val="0"/>
          <w:iCs w:val="0"/>
          <w:caps w:val="0"/>
          <w:color w:val="auto"/>
          <w:spacing w:val="0"/>
          <w:sz w:val="21"/>
          <w:szCs w:val="21"/>
          <w:highlight w:val="none"/>
          <w:shd w:val="clear" w:color="auto" w:fill="FFFFFF"/>
        </w:rPr>
        <w:t>收款账号：</w:t>
      </w:r>
      <w:r>
        <w:rPr>
          <w:rFonts w:hint="default" w:ascii="宋体" w:hAnsi="宋体" w:eastAsia="宋体" w:cs="宋体"/>
          <w:color w:val="auto"/>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收款账号</w:t>
      </w:r>
      <w:r>
        <w:rPr>
          <w:rFonts w:hint="default" w:ascii="宋体" w:hAnsi="宋体" w:eastAsia="宋体" w:cs="宋体"/>
          <w:color w:val="auto"/>
          <w:sz w:val="21"/>
          <w:szCs w:val="21"/>
          <w:highlight w:val="none"/>
          <w:shd w:val="clear" w:color="auto" w:fill="FFFFFF"/>
          <w:lang w:val="en-US"/>
        </w:rPr>
        <w:t>]</w:t>
      </w:r>
    </w:p>
    <w:p w14:paraId="74EAC9F1">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十七、平台操作说明：</w:t>
      </w:r>
    </w:p>
    <w:p w14:paraId="6CFC6A4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(1) 凡是拟参与中国节能环保集团有限公司电子采购平台投标活动的投标人需先在中国节能环保集团有限公司电子采购平台（http://www.ebidding.cecep.cn/）上完成注册审核后，方可办理在线报名、缴纳平台服务费后获取下载招标文件。</w:t>
      </w:r>
    </w:p>
    <w:p w14:paraId="1B2F8CF9">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(2) 投标人须在注册同时提交数字证书（CA）办理资料，电子采购平台所使用的数字证书（CA）办理方式见中国节能环保集团电子采购平台网站服务指南栏目《中国节能环保集团电子采购平台数字证书办理须知》（http://www.ebidding.cecep.cn/）。投标人须使用《中国节能投标文件制作软件》配合数字证书（CA）完成投标文件编制上传，并在开标时使用数字证书（CA）完成开标解锁和开标结果确认等后续环节工作。</w:t>
      </w:r>
    </w:p>
    <w:p w14:paraId="3E47CBF9">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(3) 电子采购平台技术服务热线：0512-58188179</w:t>
      </w:r>
    </w:p>
    <w:p w14:paraId="19C5A545">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十八、公告发布媒介：本招标公告通过中国节能环保集团有限公司电子采购平台（http://www.ebidding.cecep.cn/）和中国招标投标公共服务平台（http://www.cebpubservice.com/）对外公开发布。</w:t>
      </w:r>
    </w:p>
    <w:p w14:paraId="776BF65A">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十九、联系方式：</w:t>
      </w:r>
    </w:p>
    <w:tbl>
      <w:tblPr>
        <w:tblStyle w:val="3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22"/>
        <w:gridCol w:w="4072"/>
      </w:tblGrid>
      <w:tr w14:paraId="54D567FE">
        <w:tc>
          <w:tcPr>
            <w:tcW w:w="5122" w:type="dxa"/>
            <w:shd w:val="clear" w:color="auto" w:fill="auto"/>
            <w:noWrap w:val="0"/>
            <w:tcMar>
              <w:left w:w="108" w:type="dxa"/>
              <w:right w:w="108" w:type="dxa"/>
            </w:tcMar>
            <w:vAlign w:val="top"/>
          </w:tcPr>
          <w:p w14:paraId="7B6E1A5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rPr>
            </w:pPr>
            <w:r>
              <w:rPr>
                <w:rFonts w:hint="eastAsia" w:ascii="宋体" w:hAnsi="宋体" w:eastAsia="宋体" w:cs="宋体"/>
                <w:i w:val="0"/>
                <w:iCs w:val="0"/>
                <w:caps w:val="0"/>
                <w:color w:val="auto"/>
                <w:spacing w:val="0"/>
                <w:sz w:val="21"/>
                <w:szCs w:val="21"/>
                <w:highlight w:val="none"/>
              </w:rPr>
              <w:t>招标人（采购组织人）:</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rPr>
              <w:t>招标人（采购组织人）</w:t>
            </w:r>
            <w:r>
              <w:rPr>
                <w:rFonts w:hint="default" w:ascii="宋体" w:hAnsi="宋体" w:eastAsia="宋体" w:cs="宋体"/>
                <w:i w:val="0"/>
                <w:iCs w:val="0"/>
                <w:caps w:val="0"/>
                <w:color w:val="auto"/>
                <w:spacing w:val="0"/>
                <w:sz w:val="21"/>
                <w:szCs w:val="21"/>
                <w:highlight w:val="none"/>
                <w:lang w:val="en-US"/>
              </w:rPr>
              <w:t>]</w:t>
            </w:r>
          </w:p>
        </w:tc>
        <w:tc>
          <w:tcPr>
            <w:tcW w:w="4072" w:type="dxa"/>
            <w:shd w:val="clear" w:color="auto" w:fill="auto"/>
            <w:noWrap w:val="0"/>
            <w:tcMar>
              <w:left w:w="108" w:type="dxa"/>
              <w:right w:w="108" w:type="dxa"/>
            </w:tcMar>
            <w:vAlign w:val="top"/>
          </w:tcPr>
          <w:p w14:paraId="6F6755C0">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eastAsia" w:ascii="宋体" w:hAnsi="宋体" w:eastAsia="宋体" w:cs="宋体"/>
                <w:color w:val="auto"/>
                <w:sz w:val="21"/>
                <w:szCs w:val="21"/>
                <w:highlight w:val="none"/>
                <w:lang w:eastAsia="zh-CN"/>
              </w:rPr>
            </w:pPr>
            <w:r>
              <w:rPr>
                <w:rFonts w:hint="eastAsia" w:ascii="宋体" w:hAnsi="宋体" w:eastAsia="宋体" w:cs="宋体"/>
                <w:i w:val="0"/>
                <w:iCs w:val="0"/>
                <w:caps w:val="0"/>
                <w:color w:val="auto"/>
                <w:spacing w:val="0"/>
                <w:sz w:val="21"/>
                <w:szCs w:val="21"/>
                <w:highlight w:val="none"/>
              </w:rPr>
              <w:t>代理机构:</w:t>
            </w:r>
            <w:r>
              <w:rPr>
                <w:rFonts w:hint="eastAsia" w:ascii="宋体" w:hAnsi="宋体" w:eastAsia="宋体" w:cs="宋体"/>
                <w:i w:val="0"/>
                <w:iCs w:val="0"/>
                <w:caps w:val="0"/>
                <w:color w:val="auto"/>
                <w:spacing w:val="0"/>
                <w:sz w:val="21"/>
                <w:szCs w:val="21"/>
                <w:highlight w:val="none"/>
                <w:lang w:eastAsia="zh-CN"/>
              </w:rPr>
              <w:t>中国节能环保集团有限公司绿色供应链管理服务分公司</w:t>
            </w:r>
          </w:p>
        </w:tc>
      </w:tr>
      <w:tr w14:paraId="0B8DC10B">
        <w:tc>
          <w:tcPr>
            <w:tcW w:w="5122" w:type="dxa"/>
            <w:shd w:val="clear" w:color="auto" w:fill="auto"/>
            <w:noWrap w:val="0"/>
            <w:tcMar>
              <w:left w:w="108" w:type="dxa"/>
              <w:right w:w="108" w:type="dxa"/>
            </w:tcMar>
            <w:vAlign w:val="top"/>
          </w:tcPr>
          <w:p w14:paraId="00B5A89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eastAsia" w:ascii="宋体" w:hAnsi="宋体" w:eastAsia="宋体" w:cs="宋体"/>
                <w:color w:val="auto"/>
                <w:sz w:val="21"/>
                <w:szCs w:val="21"/>
                <w:highlight w:val="none"/>
              </w:rPr>
            </w:pPr>
            <w:r>
              <w:rPr>
                <w:rFonts w:hint="eastAsia" w:ascii="宋体" w:hAnsi="宋体" w:eastAsia="宋体" w:cs="宋体"/>
                <w:i w:val="0"/>
                <w:iCs w:val="0"/>
                <w:caps w:val="0"/>
                <w:color w:val="auto"/>
                <w:spacing w:val="0"/>
                <w:sz w:val="21"/>
                <w:szCs w:val="21"/>
                <w:highlight w:val="none"/>
              </w:rPr>
              <w:t>地址:北京市海淀区西直门北大街42号节能大厦7层</w:t>
            </w:r>
          </w:p>
        </w:tc>
        <w:tc>
          <w:tcPr>
            <w:tcW w:w="4072" w:type="dxa"/>
            <w:shd w:val="clear" w:color="auto" w:fill="auto"/>
            <w:noWrap w:val="0"/>
            <w:tcMar>
              <w:left w:w="108" w:type="dxa"/>
              <w:right w:w="108" w:type="dxa"/>
            </w:tcMar>
            <w:vAlign w:val="top"/>
          </w:tcPr>
          <w:p w14:paraId="5A3620AE">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eastAsia" w:ascii="宋体" w:hAnsi="宋体" w:eastAsia="宋体" w:cs="宋体"/>
                <w:color w:val="auto"/>
                <w:sz w:val="21"/>
                <w:szCs w:val="21"/>
                <w:highlight w:val="none"/>
              </w:rPr>
            </w:pPr>
            <w:r>
              <w:rPr>
                <w:rFonts w:hint="eastAsia" w:ascii="宋体" w:hAnsi="宋体" w:eastAsia="宋体" w:cs="宋体"/>
                <w:i w:val="0"/>
                <w:iCs w:val="0"/>
                <w:caps w:val="0"/>
                <w:color w:val="auto"/>
                <w:spacing w:val="0"/>
                <w:sz w:val="21"/>
                <w:szCs w:val="21"/>
                <w:highlight w:val="none"/>
              </w:rPr>
              <w:t>地址:</w:t>
            </w:r>
            <w:r>
              <w:rPr>
                <w:rFonts w:hint="eastAsia" w:ascii="宋体" w:hAnsi="宋体" w:eastAsia="宋体" w:cs="宋体"/>
                <w:color w:val="auto"/>
                <w:sz w:val="21"/>
                <w:szCs w:val="21"/>
                <w:highlight w:val="none"/>
              </w:rPr>
              <w:t>北京市西城区平安里西大街26号楼</w:t>
            </w:r>
          </w:p>
        </w:tc>
      </w:tr>
      <w:tr w14:paraId="178EC149">
        <w:tc>
          <w:tcPr>
            <w:tcW w:w="5122" w:type="dxa"/>
            <w:shd w:val="clear" w:color="auto" w:fill="auto"/>
            <w:noWrap w:val="0"/>
            <w:tcMar>
              <w:left w:w="108" w:type="dxa"/>
              <w:right w:w="108" w:type="dxa"/>
            </w:tcMar>
            <w:vAlign w:val="top"/>
          </w:tcPr>
          <w:p w14:paraId="1FED2CE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rPr>
            </w:pPr>
            <w:r>
              <w:rPr>
                <w:rFonts w:hint="eastAsia" w:ascii="宋体" w:hAnsi="宋体" w:eastAsia="宋体" w:cs="宋体"/>
                <w:i w:val="0"/>
                <w:iCs w:val="0"/>
                <w:caps w:val="0"/>
                <w:color w:val="auto"/>
                <w:spacing w:val="0"/>
                <w:sz w:val="21"/>
                <w:szCs w:val="21"/>
                <w:highlight w:val="none"/>
              </w:rPr>
              <w:t>联系人:</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rPr>
              <w:t>联系人</w:t>
            </w:r>
            <w:r>
              <w:rPr>
                <w:rFonts w:hint="default" w:ascii="宋体" w:hAnsi="宋体" w:eastAsia="宋体" w:cs="宋体"/>
                <w:i w:val="0"/>
                <w:iCs w:val="0"/>
                <w:caps w:val="0"/>
                <w:color w:val="auto"/>
                <w:spacing w:val="0"/>
                <w:sz w:val="21"/>
                <w:szCs w:val="21"/>
                <w:highlight w:val="none"/>
                <w:lang w:val="en-US"/>
              </w:rPr>
              <w:t>1]</w:t>
            </w:r>
          </w:p>
        </w:tc>
        <w:tc>
          <w:tcPr>
            <w:tcW w:w="4072" w:type="dxa"/>
            <w:shd w:val="clear" w:color="auto" w:fill="auto"/>
            <w:noWrap w:val="0"/>
            <w:tcMar>
              <w:left w:w="108" w:type="dxa"/>
              <w:right w:w="108" w:type="dxa"/>
            </w:tcMar>
            <w:vAlign w:val="top"/>
          </w:tcPr>
          <w:p w14:paraId="6CC558C4">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eastAsia="zh-CN"/>
              </w:rPr>
            </w:pPr>
            <w:r>
              <w:rPr>
                <w:rFonts w:hint="eastAsia" w:ascii="宋体" w:hAnsi="宋体" w:eastAsia="宋体" w:cs="宋体"/>
                <w:i w:val="0"/>
                <w:iCs w:val="0"/>
                <w:caps w:val="0"/>
                <w:color w:val="auto"/>
                <w:spacing w:val="0"/>
                <w:sz w:val="21"/>
                <w:szCs w:val="21"/>
                <w:highlight w:val="none"/>
              </w:rPr>
              <w:t>联系人:</w:t>
            </w:r>
            <w:r>
              <w:rPr>
                <w:rFonts w:hint="default" w:ascii="宋体" w:hAnsi="宋体" w:eastAsia="宋体" w:cs="宋体"/>
                <w:i w:val="0"/>
                <w:iCs w:val="0"/>
                <w:caps w:val="0"/>
                <w:color w:val="auto"/>
                <w:spacing w:val="0"/>
                <w:sz w:val="21"/>
                <w:szCs w:val="21"/>
                <w:highlight w:val="none"/>
                <w:lang w:val="en-US" w:eastAsia="zh-CN"/>
              </w:rPr>
              <w:t>[</w:t>
            </w:r>
            <w:r>
              <w:rPr>
                <w:rFonts w:hint="eastAsia" w:ascii="宋体" w:hAnsi="宋体" w:eastAsia="宋体" w:cs="宋体"/>
                <w:i w:val="0"/>
                <w:iCs w:val="0"/>
                <w:caps w:val="0"/>
                <w:color w:val="auto"/>
                <w:spacing w:val="0"/>
                <w:sz w:val="21"/>
                <w:szCs w:val="21"/>
                <w:highlight w:val="none"/>
              </w:rPr>
              <w:t>联系人</w:t>
            </w:r>
            <w:r>
              <w:rPr>
                <w:rFonts w:hint="default" w:ascii="宋体" w:hAnsi="宋体" w:eastAsia="宋体" w:cs="宋体"/>
                <w:i w:val="0"/>
                <w:iCs w:val="0"/>
                <w:caps w:val="0"/>
                <w:color w:val="auto"/>
                <w:spacing w:val="0"/>
                <w:sz w:val="21"/>
                <w:szCs w:val="21"/>
                <w:highlight w:val="none"/>
                <w:lang w:val="en-US"/>
              </w:rPr>
              <w:t>2</w:t>
            </w:r>
            <w:r>
              <w:rPr>
                <w:rFonts w:hint="default" w:ascii="宋体" w:hAnsi="宋体" w:eastAsia="宋体" w:cs="宋体"/>
                <w:i w:val="0"/>
                <w:iCs w:val="0"/>
                <w:caps w:val="0"/>
                <w:color w:val="auto"/>
                <w:spacing w:val="0"/>
                <w:sz w:val="21"/>
                <w:szCs w:val="21"/>
                <w:highlight w:val="none"/>
                <w:lang w:val="en-US" w:eastAsia="zh-CN"/>
              </w:rPr>
              <w:t>]</w:t>
            </w:r>
          </w:p>
        </w:tc>
      </w:tr>
      <w:tr w14:paraId="0575AAE7">
        <w:tc>
          <w:tcPr>
            <w:tcW w:w="5122" w:type="dxa"/>
            <w:shd w:val="clear" w:color="auto" w:fill="auto"/>
            <w:noWrap w:val="0"/>
            <w:tcMar>
              <w:left w:w="108" w:type="dxa"/>
              <w:right w:w="108" w:type="dxa"/>
            </w:tcMar>
            <w:vAlign w:val="top"/>
          </w:tcPr>
          <w:p w14:paraId="6E452747">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rPr>
            </w:pPr>
            <w:r>
              <w:rPr>
                <w:rFonts w:hint="eastAsia" w:ascii="宋体" w:hAnsi="宋体" w:eastAsia="宋体" w:cs="宋体"/>
                <w:i w:val="0"/>
                <w:iCs w:val="0"/>
                <w:caps w:val="0"/>
                <w:color w:val="auto"/>
                <w:spacing w:val="0"/>
                <w:sz w:val="21"/>
                <w:szCs w:val="21"/>
                <w:highlight w:val="none"/>
              </w:rPr>
              <w:t>电话:</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lang w:val="en-US" w:eastAsia="zh-CN"/>
              </w:rPr>
              <w:t>电话1</w:t>
            </w:r>
            <w:r>
              <w:rPr>
                <w:rFonts w:hint="default" w:ascii="宋体" w:hAnsi="宋体" w:eastAsia="宋体" w:cs="宋体"/>
                <w:i w:val="0"/>
                <w:iCs w:val="0"/>
                <w:caps w:val="0"/>
                <w:color w:val="auto"/>
                <w:spacing w:val="0"/>
                <w:sz w:val="21"/>
                <w:szCs w:val="21"/>
                <w:highlight w:val="none"/>
                <w:lang w:val="en-US"/>
              </w:rPr>
              <w:t>]</w:t>
            </w:r>
          </w:p>
        </w:tc>
        <w:tc>
          <w:tcPr>
            <w:tcW w:w="4072" w:type="dxa"/>
            <w:shd w:val="clear" w:color="auto" w:fill="auto"/>
            <w:noWrap w:val="0"/>
            <w:tcMar>
              <w:left w:w="108" w:type="dxa"/>
              <w:right w:w="108" w:type="dxa"/>
            </w:tcMar>
            <w:vAlign w:val="top"/>
          </w:tcPr>
          <w:p w14:paraId="537E75A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eastAsia="zh-CN"/>
              </w:rPr>
            </w:pPr>
            <w:r>
              <w:rPr>
                <w:rFonts w:hint="eastAsia" w:ascii="宋体" w:hAnsi="宋体" w:eastAsia="宋体" w:cs="宋体"/>
                <w:i w:val="0"/>
                <w:iCs w:val="0"/>
                <w:caps w:val="0"/>
                <w:color w:val="auto"/>
                <w:spacing w:val="0"/>
                <w:sz w:val="21"/>
                <w:szCs w:val="21"/>
                <w:highlight w:val="none"/>
              </w:rPr>
              <w:t>电话:</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lang w:val="en-US" w:eastAsia="zh-CN"/>
              </w:rPr>
              <w:t>电话2</w:t>
            </w:r>
            <w:r>
              <w:rPr>
                <w:rFonts w:hint="default" w:ascii="宋体" w:hAnsi="宋体" w:eastAsia="宋体" w:cs="宋体"/>
                <w:i w:val="0"/>
                <w:iCs w:val="0"/>
                <w:caps w:val="0"/>
                <w:color w:val="auto"/>
                <w:spacing w:val="0"/>
                <w:sz w:val="21"/>
                <w:szCs w:val="21"/>
                <w:highlight w:val="none"/>
                <w:lang w:val="en-US"/>
              </w:rPr>
              <w:t>]</w:t>
            </w:r>
          </w:p>
        </w:tc>
      </w:tr>
      <w:tr w14:paraId="57227D29">
        <w:tc>
          <w:tcPr>
            <w:tcW w:w="5122" w:type="dxa"/>
            <w:shd w:val="clear" w:color="auto" w:fill="auto"/>
            <w:noWrap w:val="0"/>
            <w:tcMar>
              <w:left w:w="108" w:type="dxa"/>
              <w:right w:w="108" w:type="dxa"/>
            </w:tcMar>
            <w:vAlign w:val="top"/>
          </w:tcPr>
          <w:p w14:paraId="10996BF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eastAsia="zh-CN"/>
              </w:rPr>
            </w:pPr>
            <w:r>
              <w:rPr>
                <w:rFonts w:hint="eastAsia" w:ascii="宋体" w:hAnsi="宋体" w:eastAsia="宋体" w:cs="宋体"/>
                <w:i w:val="0"/>
                <w:iCs w:val="0"/>
                <w:caps w:val="0"/>
                <w:color w:val="auto"/>
                <w:spacing w:val="0"/>
                <w:sz w:val="21"/>
                <w:szCs w:val="21"/>
                <w:highlight w:val="none"/>
              </w:rPr>
              <w:t>邮箱:</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lang w:val="en-US" w:eastAsia="zh-CN"/>
              </w:rPr>
              <w:t>邮箱1</w:t>
            </w:r>
            <w:r>
              <w:rPr>
                <w:rFonts w:hint="default" w:ascii="宋体" w:hAnsi="宋体" w:eastAsia="宋体" w:cs="宋体"/>
                <w:i w:val="0"/>
                <w:iCs w:val="0"/>
                <w:caps w:val="0"/>
                <w:color w:val="auto"/>
                <w:spacing w:val="0"/>
                <w:sz w:val="21"/>
                <w:szCs w:val="21"/>
                <w:highlight w:val="none"/>
                <w:lang w:val="en-US"/>
              </w:rPr>
              <w:t>]</w:t>
            </w:r>
          </w:p>
        </w:tc>
        <w:tc>
          <w:tcPr>
            <w:tcW w:w="4072" w:type="dxa"/>
            <w:shd w:val="clear" w:color="auto" w:fill="auto"/>
            <w:noWrap w:val="0"/>
            <w:tcMar>
              <w:left w:w="108" w:type="dxa"/>
              <w:right w:w="108" w:type="dxa"/>
            </w:tcMar>
            <w:vAlign w:val="top"/>
          </w:tcPr>
          <w:p w14:paraId="7EB85CBE">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eastAsia="zh-CN"/>
              </w:rPr>
            </w:pPr>
            <w:r>
              <w:rPr>
                <w:rFonts w:hint="eastAsia" w:ascii="宋体" w:hAnsi="宋体" w:eastAsia="宋体" w:cs="宋体"/>
                <w:i w:val="0"/>
                <w:iCs w:val="0"/>
                <w:caps w:val="0"/>
                <w:color w:val="auto"/>
                <w:spacing w:val="0"/>
                <w:sz w:val="21"/>
                <w:szCs w:val="21"/>
                <w:highlight w:val="none"/>
              </w:rPr>
              <w:t>邮箱:</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lang w:val="en-US" w:eastAsia="zh-CN"/>
              </w:rPr>
              <w:t>邮箱2</w:t>
            </w:r>
            <w:r>
              <w:rPr>
                <w:rFonts w:hint="default" w:ascii="宋体" w:hAnsi="宋体" w:eastAsia="宋体" w:cs="宋体"/>
                <w:i w:val="0"/>
                <w:iCs w:val="0"/>
                <w:caps w:val="0"/>
                <w:color w:val="auto"/>
                <w:spacing w:val="0"/>
                <w:sz w:val="21"/>
                <w:szCs w:val="21"/>
                <w:highlight w:val="none"/>
                <w:lang w:val="en-US"/>
              </w:rPr>
              <w:t>]</w:t>
            </w:r>
          </w:p>
        </w:tc>
      </w:tr>
    </w:tbl>
    <w:p w14:paraId="0424F149">
      <w:pPr>
        <w:pStyle w:val="31"/>
        <w:keepNext w:val="0"/>
        <w:keepLines w:val="0"/>
        <w:widowControl/>
        <w:suppressLineNumbers w:val="0"/>
        <w:spacing w:before="0" w:beforeLines="0" w:beforeAutospacing="0" w:after="0" w:afterLines="0" w:afterAutospacing="0" w:line="360" w:lineRule="auto"/>
        <w:ind w:right="0"/>
        <w:jc w:val="both"/>
        <w:rPr>
          <w:rFonts w:hint="eastAsia" w:ascii="宋体" w:hAnsi="宋体" w:eastAsia="宋体" w:cs="宋体"/>
          <w:color w:val="auto"/>
          <w:sz w:val="21"/>
          <w:szCs w:val="21"/>
          <w:highlight w:val="none"/>
        </w:rPr>
        <w:sectPr>
          <w:pgSz w:w="11906" w:h="16838"/>
          <w:pgMar w:top="1417" w:right="1417" w:bottom="1417" w:left="1417" w:header="851" w:footer="992" w:gutter="0"/>
          <w:pgNumType w:fmt="decimal"/>
          <w:cols w:space="720" w:num="1"/>
          <w:docGrid w:linePitch="312" w:charSpace="0"/>
        </w:sectPr>
      </w:pPr>
    </w:p>
    <w:p w14:paraId="488461E8">
      <w:pPr>
        <w:pStyle w:val="4"/>
        <w:numPr>
          <w:numId w:val="0"/>
        </w:numPr>
        <w:spacing w:before="0" w:after="0" w:line="360" w:lineRule="auto"/>
        <w:ind w:left="-425" w:leftChars="0"/>
        <w:jc w:val="center"/>
        <w:rPr>
          <w:rFonts w:hint="eastAsia" w:ascii="宋体" w:hAnsi="宋体" w:eastAsia="宋体" w:cs="宋体"/>
          <w:color w:val="auto"/>
          <w:highlight w:val="none"/>
        </w:rPr>
      </w:pPr>
      <w:r>
        <w:rPr>
          <w:rFonts w:hint="eastAsia" w:ascii="宋体" w:hAnsi="宋体" w:eastAsia="宋体" w:cs="宋体"/>
          <w:color w:val="auto"/>
          <w:highlight w:val="none"/>
        </w:rPr>
        <w:t>第二章 投标人须知</w:t>
      </w:r>
    </w:p>
    <w:p w14:paraId="0D982C70">
      <w:pPr>
        <w:pStyle w:val="5"/>
        <w:numPr>
          <w:numId w:val="0"/>
        </w:numPr>
        <w:spacing w:before="0" w:after="0" w:line="360" w:lineRule="auto"/>
        <w:ind w:left="-567" w:leftChars="0"/>
        <w:jc w:val="center"/>
        <w:rPr>
          <w:rFonts w:hint="eastAsia" w:ascii="宋体" w:hAnsi="宋体" w:cs="宋体"/>
          <w:color w:val="auto"/>
          <w:szCs w:val="21"/>
          <w:highlight w:val="none"/>
        </w:rPr>
      </w:pPr>
      <w:r>
        <w:rPr>
          <w:rFonts w:hint="eastAsia" w:ascii="宋体" w:hAnsi="宋体" w:cs="宋体"/>
          <w:color w:val="auto"/>
          <w:szCs w:val="21"/>
          <w:highlight w:val="none"/>
        </w:rPr>
        <w:t>投标人须知前附表</w:t>
      </w:r>
    </w:p>
    <w:tbl>
      <w:tblPr>
        <w:tblStyle w:val="35"/>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65"/>
        <w:gridCol w:w="2766"/>
        <w:gridCol w:w="5433"/>
      </w:tblGrid>
      <w:tr w14:paraId="5386806D">
        <w:trPr>
          <w:trHeight w:val="20" w:hRule="atLeast"/>
          <w:jc w:val="center"/>
        </w:trPr>
        <w:tc>
          <w:tcPr>
            <w:tcW w:w="1165" w:type="dxa"/>
            <w:noWrap w:val="0"/>
            <w:vAlign w:val="center"/>
          </w:tcPr>
          <w:p w14:paraId="3F36911A">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条款号</w:t>
            </w:r>
          </w:p>
        </w:tc>
        <w:tc>
          <w:tcPr>
            <w:tcW w:w="2766" w:type="dxa"/>
            <w:noWrap w:val="0"/>
            <w:vAlign w:val="center"/>
          </w:tcPr>
          <w:p w14:paraId="1C720843">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条  款  名  称</w:t>
            </w:r>
          </w:p>
        </w:tc>
        <w:tc>
          <w:tcPr>
            <w:tcW w:w="5433" w:type="dxa"/>
            <w:noWrap w:val="0"/>
            <w:vAlign w:val="center"/>
          </w:tcPr>
          <w:p w14:paraId="51A4DED2">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编  列  内  容</w:t>
            </w:r>
          </w:p>
        </w:tc>
      </w:tr>
      <w:tr w14:paraId="1BE91684">
        <w:trPr>
          <w:trHeight w:val="20" w:hRule="atLeast"/>
          <w:jc w:val="center"/>
        </w:trPr>
        <w:tc>
          <w:tcPr>
            <w:tcW w:w="1165" w:type="dxa"/>
            <w:vMerge w:val="restart"/>
            <w:noWrap w:val="0"/>
            <w:vAlign w:val="center"/>
          </w:tcPr>
          <w:p w14:paraId="02BE10D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1.1.2</w:t>
            </w:r>
          </w:p>
        </w:tc>
        <w:tc>
          <w:tcPr>
            <w:tcW w:w="2766" w:type="dxa"/>
            <w:noWrap w:val="0"/>
            <w:vAlign w:val="center"/>
          </w:tcPr>
          <w:p w14:paraId="0729181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采购组织人</w:t>
            </w:r>
          </w:p>
        </w:tc>
        <w:tc>
          <w:tcPr>
            <w:tcW w:w="5433" w:type="dxa"/>
            <w:noWrap w:val="0"/>
            <w:vAlign w:val="center"/>
          </w:tcPr>
          <w:p>
            <w:r>
              <w:t>名称：xxx公式</w:t>
              <w:br/>
              <w:t>地址：北京西城区</w:t>
              <w:br/>
              <w:t>联系人：张三</w:t>
              <w:br/>
              <w:t>电话：23615867</w:t>
            </w:r>
          </w:p>
        </w:tc>
      </w:tr>
      <w:tr w14:paraId="7A3E2AE8">
        <w:trPr>
          <w:trHeight w:val="20" w:hRule="atLeast"/>
          <w:jc w:val="center"/>
        </w:trPr>
        <w:tc>
          <w:tcPr>
            <w:tcW w:w="1165" w:type="dxa"/>
            <w:vMerge w:val="continue"/>
            <w:noWrap w:val="0"/>
            <w:vAlign w:val="center"/>
          </w:tcPr>
          <w:p w14:paraId="4B3B2BE1">
            <w:pPr>
              <w:spacing w:line="240" w:lineRule="auto"/>
              <w:jc w:val="center"/>
              <w:rPr>
                <w:rFonts w:hint="eastAsia" w:ascii="宋体" w:hAnsi="宋体" w:eastAsia="宋体" w:cs="宋体"/>
                <w:color w:val="auto"/>
                <w:szCs w:val="21"/>
                <w:highlight w:val="none"/>
              </w:rPr>
            </w:pPr>
          </w:p>
        </w:tc>
        <w:tc>
          <w:tcPr>
            <w:tcW w:w="2766" w:type="dxa"/>
            <w:noWrap w:val="0"/>
            <w:vAlign w:val="center"/>
          </w:tcPr>
          <w:p w14:paraId="170C7A4E">
            <w:pPr>
              <w:spacing w:line="240" w:lineRule="auto"/>
              <w:jc w:val="center"/>
              <w:rPr>
                <w:rFonts w:hint="default" w:ascii="宋体" w:hAnsi="宋体" w:eastAsia="宋体" w:cs="宋体"/>
                <w:color w:val="auto"/>
                <w:szCs w:val="21"/>
                <w:highlight w:val="none"/>
                <w:lang w:val="en-US" w:eastAsia="zh-CN"/>
              </w:rPr>
            </w:pPr>
            <w:r>
              <w:rPr>
                <w:rFonts w:hint="eastAsia" w:ascii="宋体" w:hAnsi="宋体" w:eastAsia="宋体" w:cs="宋体"/>
                <w:color w:val="auto"/>
                <w:szCs w:val="21"/>
                <w:highlight w:val="none"/>
                <w:lang w:val="en-US" w:eastAsia="zh-CN"/>
              </w:rPr>
              <w:t>采购需求人</w:t>
            </w:r>
          </w:p>
        </w:tc>
        <w:tc>
          <w:tcPr>
            <w:tcW w:w="5433" w:type="dxa"/>
            <w:noWrap w:val="0"/>
            <w:vAlign w:val="center"/>
          </w:tcPr>
          <w:p>
            <w:r>
              <w:t>名称：yyy公司</w:t>
              <w:br/>
              <w:t>地址：北京东城区</w:t>
              <w:br/>
              <w:t>联系人：郑也</w:t>
              <w:br/>
              <w:t>电话：6987689970</w:t>
            </w:r>
          </w:p>
        </w:tc>
      </w:tr>
      <w:tr w14:paraId="3DFAB1C5">
        <w:trPr>
          <w:trHeight w:val="2151" w:hRule="atLeast"/>
          <w:jc w:val="center"/>
        </w:trPr>
        <w:tc>
          <w:tcPr>
            <w:tcW w:w="1165" w:type="dxa"/>
            <w:noWrap w:val="0"/>
            <w:vAlign w:val="center"/>
          </w:tcPr>
          <w:p w14:paraId="54EA4E7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1.1.3</w:t>
            </w:r>
          </w:p>
        </w:tc>
        <w:tc>
          <w:tcPr>
            <w:tcW w:w="2766" w:type="dxa"/>
            <w:noWrap w:val="0"/>
            <w:vAlign w:val="center"/>
          </w:tcPr>
          <w:p w14:paraId="5DB6119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招标代理机构</w:t>
            </w:r>
          </w:p>
        </w:tc>
        <w:tc>
          <w:tcPr>
            <w:tcW w:w="5433" w:type="dxa"/>
            <w:noWrap w:val="0"/>
            <w:vAlign w:val="center"/>
          </w:tcPr>
          <w:p>
            <w:r>
              <w:t>名称：中国节能环保集团有限公司绿色供应链管理服务分公司</w:t>
              <w:br/>
              <w:t>地址：北京市西城区平安里西大街26号楼</w:t>
              <w:br/>
              <w:t>联系人：于湖</w:t>
              <w:br/>
              <w:t>电话：69872687</w:t>
            </w:r>
          </w:p>
        </w:tc>
      </w:tr>
      <w:tr w14:paraId="75E72545">
        <w:trPr>
          <w:trHeight w:val="20" w:hRule="atLeast"/>
          <w:jc w:val="center"/>
        </w:trPr>
        <w:tc>
          <w:tcPr>
            <w:tcW w:w="1165" w:type="dxa"/>
            <w:noWrap w:val="0"/>
            <w:vAlign w:val="center"/>
          </w:tcPr>
          <w:p w14:paraId="70FB567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1.1.4</w:t>
            </w:r>
          </w:p>
        </w:tc>
        <w:tc>
          <w:tcPr>
            <w:tcW w:w="2766" w:type="dxa"/>
            <w:noWrap w:val="0"/>
            <w:vAlign w:val="center"/>
          </w:tcPr>
          <w:p w14:paraId="4D8DB0FD">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项目名称</w:t>
            </w:r>
          </w:p>
        </w:tc>
        <w:tc>
          <w:tcPr>
            <w:tcW w:w="5433" w:type="dxa"/>
            <w:noWrap w:val="0"/>
            <w:vAlign w:val="center"/>
          </w:tcPr>
          <w:p>
            <w:r>
              <w:t>海绵宝宝空调采购（A标段）</w:t>
            </w:r>
          </w:p>
        </w:tc>
      </w:tr>
      <w:tr w14:paraId="4CB04238">
        <w:trPr>
          <w:trHeight w:val="20" w:hRule="atLeast"/>
          <w:jc w:val="center"/>
        </w:trPr>
        <w:tc>
          <w:tcPr>
            <w:tcW w:w="1165" w:type="dxa"/>
            <w:noWrap w:val="0"/>
            <w:vAlign w:val="center"/>
          </w:tcPr>
          <w:p w14:paraId="3E444AA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1.1.5</w:t>
            </w:r>
          </w:p>
        </w:tc>
        <w:tc>
          <w:tcPr>
            <w:tcW w:w="2766" w:type="dxa"/>
            <w:noWrap w:val="0"/>
            <w:vAlign w:val="center"/>
          </w:tcPr>
          <w:p w14:paraId="254E13B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建设地点</w:t>
            </w:r>
          </w:p>
        </w:tc>
        <w:tc>
          <w:tcPr>
            <w:tcW w:w="5433" w:type="dxa"/>
            <w:noWrap w:val="0"/>
            <w:vAlign w:val="center"/>
          </w:tcPr>
          <w:p>
            <w:r>
              <w:t>北京</w:t>
            </w:r>
          </w:p>
        </w:tc>
      </w:tr>
      <w:tr w14:paraId="3C9DD346">
        <w:trPr>
          <w:trHeight w:val="20" w:hRule="atLeast"/>
          <w:jc w:val="center"/>
        </w:trPr>
        <w:tc>
          <w:tcPr>
            <w:tcW w:w="1165" w:type="dxa"/>
            <w:noWrap w:val="0"/>
            <w:vAlign w:val="center"/>
          </w:tcPr>
          <w:p w14:paraId="656CE63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1.2.1</w:t>
            </w:r>
          </w:p>
        </w:tc>
        <w:tc>
          <w:tcPr>
            <w:tcW w:w="2766" w:type="dxa"/>
            <w:noWrap w:val="0"/>
            <w:vAlign w:val="center"/>
          </w:tcPr>
          <w:p w14:paraId="2E6822F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资金来源及比例</w:t>
            </w:r>
          </w:p>
        </w:tc>
        <w:tc>
          <w:tcPr>
            <w:tcW w:w="5433" w:type="dxa"/>
            <w:noWrap w:val="0"/>
            <w:vAlign w:val="center"/>
          </w:tcPr>
          <w:p w14:paraId="62440BE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企业自筹</w:t>
            </w:r>
          </w:p>
        </w:tc>
      </w:tr>
      <w:tr w14:paraId="73C20C16">
        <w:trPr>
          <w:trHeight w:val="20" w:hRule="atLeast"/>
          <w:jc w:val="center"/>
        </w:trPr>
        <w:tc>
          <w:tcPr>
            <w:tcW w:w="1165" w:type="dxa"/>
            <w:noWrap w:val="0"/>
            <w:vAlign w:val="center"/>
          </w:tcPr>
          <w:p w14:paraId="364B247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1.2.2</w:t>
            </w:r>
          </w:p>
        </w:tc>
        <w:tc>
          <w:tcPr>
            <w:tcW w:w="2766" w:type="dxa"/>
            <w:noWrap w:val="0"/>
            <w:vAlign w:val="center"/>
          </w:tcPr>
          <w:p w14:paraId="5EB80A4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资金落实情况</w:t>
            </w:r>
          </w:p>
        </w:tc>
        <w:tc>
          <w:tcPr>
            <w:tcW w:w="5433" w:type="dxa"/>
            <w:noWrap w:val="0"/>
            <w:vAlign w:val="center"/>
          </w:tcPr>
          <w:p w14:paraId="6715CB6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已落实</w:t>
            </w:r>
          </w:p>
        </w:tc>
      </w:tr>
      <w:tr w14:paraId="6FCA6925">
        <w:trPr>
          <w:trHeight w:val="20" w:hRule="atLeast"/>
          <w:jc w:val="center"/>
        </w:trPr>
        <w:tc>
          <w:tcPr>
            <w:tcW w:w="1165" w:type="dxa"/>
            <w:noWrap w:val="0"/>
            <w:vAlign w:val="center"/>
          </w:tcPr>
          <w:p w14:paraId="21E0436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1.3.1</w:t>
            </w:r>
          </w:p>
        </w:tc>
        <w:tc>
          <w:tcPr>
            <w:tcW w:w="2766" w:type="dxa"/>
            <w:noWrap w:val="0"/>
            <w:vAlign w:val="center"/>
          </w:tcPr>
          <w:p w14:paraId="0FA00C7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yellow"/>
              </w:rPr>
              <w:t>招标范围</w:t>
            </w:r>
          </w:p>
        </w:tc>
        <w:tc>
          <w:tcPr>
            <w:tcW w:w="5433" w:type="dxa"/>
            <w:noWrap w:val="0"/>
            <w:vAlign w:val="center"/>
          </w:tcPr>
          <w:p w14:paraId="361BBC2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同招标文件第一章招标公告“</w:t>
            </w:r>
            <w:r>
              <w:rPr>
                <w:rFonts w:hint="eastAsia" w:ascii="宋体" w:hAnsi="宋体" w:eastAsia="宋体" w:cs="宋体"/>
                <w:color w:val="auto"/>
                <w:kern w:val="0"/>
                <w:szCs w:val="21"/>
                <w:highlight w:val="none"/>
              </w:rPr>
              <w:t>七、本次招标范围及内容</w:t>
            </w:r>
            <w:r>
              <w:rPr>
                <w:rFonts w:hint="eastAsia" w:ascii="宋体" w:hAnsi="宋体" w:eastAsia="宋体" w:cs="宋体"/>
                <w:color w:val="auto"/>
                <w:szCs w:val="21"/>
                <w:highlight w:val="none"/>
              </w:rPr>
              <w:t>”</w:t>
            </w:r>
          </w:p>
        </w:tc>
      </w:tr>
      <w:tr w14:paraId="0ADBB163">
        <w:trPr>
          <w:trHeight w:val="20" w:hRule="atLeast"/>
          <w:jc w:val="center"/>
        </w:trPr>
        <w:tc>
          <w:tcPr>
            <w:tcW w:w="1165" w:type="dxa"/>
            <w:noWrap w:val="0"/>
            <w:vAlign w:val="center"/>
          </w:tcPr>
          <w:p w14:paraId="33986CE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1.3.2</w:t>
            </w:r>
          </w:p>
        </w:tc>
        <w:tc>
          <w:tcPr>
            <w:tcW w:w="2766" w:type="dxa"/>
            <w:noWrap w:val="0"/>
            <w:vAlign w:val="center"/>
          </w:tcPr>
          <w:p w14:paraId="5FF056F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yellow"/>
              </w:rPr>
              <w:t>计划工期</w:t>
            </w:r>
          </w:p>
        </w:tc>
        <w:tc>
          <w:tcPr>
            <w:tcW w:w="5433" w:type="dxa"/>
            <w:noWrap w:val="0"/>
            <w:vAlign w:val="center"/>
          </w:tcPr>
          <w:p w14:paraId="72EE47F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同招标文件第一章招标公告“</w:t>
            </w:r>
            <w:r>
              <w:rPr>
                <w:rFonts w:hint="eastAsia" w:ascii="宋体" w:hAnsi="宋体" w:eastAsia="宋体" w:cs="宋体"/>
                <w:color w:val="auto"/>
                <w:kern w:val="0"/>
                <w:szCs w:val="21"/>
                <w:highlight w:val="none"/>
              </w:rPr>
              <w:t>九、工期要求</w:t>
            </w:r>
            <w:r>
              <w:rPr>
                <w:rFonts w:hint="eastAsia" w:ascii="宋体" w:hAnsi="宋体" w:eastAsia="宋体" w:cs="宋体"/>
                <w:color w:val="auto"/>
                <w:szCs w:val="21"/>
                <w:highlight w:val="none"/>
              </w:rPr>
              <w:t>”</w:t>
            </w:r>
          </w:p>
        </w:tc>
      </w:tr>
      <w:tr w14:paraId="5286E68E">
        <w:trPr>
          <w:trHeight w:val="20" w:hRule="atLeast"/>
          <w:jc w:val="center"/>
        </w:trPr>
        <w:tc>
          <w:tcPr>
            <w:tcW w:w="1165" w:type="dxa"/>
            <w:noWrap w:val="0"/>
            <w:vAlign w:val="center"/>
          </w:tcPr>
          <w:p w14:paraId="32FA84A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1.3.3</w:t>
            </w:r>
          </w:p>
        </w:tc>
        <w:tc>
          <w:tcPr>
            <w:tcW w:w="2766" w:type="dxa"/>
            <w:noWrap w:val="0"/>
            <w:vAlign w:val="center"/>
          </w:tcPr>
          <w:p w14:paraId="21DA68F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质量标准</w:t>
            </w:r>
          </w:p>
        </w:tc>
        <w:tc>
          <w:tcPr>
            <w:tcW w:w="5433" w:type="dxa"/>
            <w:noWrap w:val="0"/>
            <w:vAlign w:val="center"/>
          </w:tcPr>
          <w:p w14:paraId="12C787EC">
            <w:pPr>
              <w:spacing w:line="240" w:lineRule="auto"/>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勘察要求的质量标准：</w:t>
            </w:r>
            <w:r>
              <w:rPr>
                <w:rFonts w:hint="eastAsia" w:ascii="宋体" w:hAnsi="宋体" w:eastAsia="宋体" w:cs="宋体"/>
                <w:color w:val="auto"/>
                <w:szCs w:val="21"/>
                <w:highlight w:val="none"/>
              </w:rPr>
              <w:t>满足国家标准、规范及规程。</w:t>
            </w:r>
          </w:p>
          <w:p w14:paraId="0A95ADF5">
            <w:pPr>
              <w:spacing w:line="240" w:lineRule="auto"/>
              <w:rPr>
                <w:rFonts w:hint="eastAsia" w:ascii="宋体" w:hAnsi="宋体" w:eastAsia="宋体" w:cs="宋体"/>
                <w:color w:val="auto"/>
                <w:szCs w:val="21"/>
                <w:highlight w:val="none"/>
              </w:rPr>
            </w:pPr>
            <w:r>
              <w:rPr>
                <w:rFonts w:hint="eastAsia" w:ascii="宋体" w:hAnsi="宋体" w:eastAsia="宋体" w:cs="宋体"/>
                <w:b/>
                <w:color w:val="auto"/>
                <w:szCs w:val="21"/>
                <w:highlight w:val="none"/>
              </w:rPr>
              <w:t>设计要求的质量标准：</w:t>
            </w:r>
            <w:r>
              <w:rPr>
                <w:rFonts w:hint="eastAsia" w:ascii="宋体" w:hAnsi="宋体" w:eastAsia="宋体" w:cs="宋体"/>
                <w:color w:val="auto"/>
                <w:szCs w:val="21"/>
                <w:highlight w:val="none"/>
              </w:rPr>
              <w:t>满足国家、行业设计规范及标准。</w:t>
            </w:r>
          </w:p>
          <w:p w14:paraId="0CBA7201">
            <w:pPr>
              <w:spacing w:line="240" w:lineRule="auto"/>
              <w:rPr>
                <w:rFonts w:hint="eastAsia" w:ascii="宋体" w:hAnsi="宋体" w:eastAsia="宋体" w:cs="宋体"/>
                <w:color w:val="auto"/>
                <w:szCs w:val="21"/>
                <w:highlight w:val="none"/>
              </w:rPr>
            </w:pPr>
            <w:r>
              <w:rPr>
                <w:rFonts w:hint="eastAsia" w:ascii="宋体" w:hAnsi="宋体" w:eastAsia="宋体" w:cs="宋体"/>
                <w:b/>
                <w:color w:val="auto"/>
                <w:szCs w:val="21"/>
                <w:highlight w:val="none"/>
              </w:rPr>
              <w:t>施工要求的质量标准：</w:t>
            </w:r>
            <w:r>
              <w:rPr>
                <w:rFonts w:hint="eastAsia" w:ascii="宋体" w:hAnsi="宋体" w:eastAsia="宋体" w:cs="宋体"/>
                <w:color w:val="auto"/>
                <w:szCs w:val="21"/>
                <w:highlight w:val="none"/>
              </w:rPr>
              <w:t>合格，达标投产。</w:t>
            </w:r>
          </w:p>
          <w:p w14:paraId="459391AA">
            <w:pPr>
              <w:spacing w:line="240" w:lineRule="auto"/>
              <w:rPr>
                <w:rFonts w:hint="eastAsia" w:ascii="宋体" w:hAnsi="宋体" w:eastAsia="宋体" w:cs="宋体"/>
                <w:color w:val="auto"/>
                <w:szCs w:val="21"/>
                <w:highlight w:val="none"/>
              </w:rPr>
            </w:pPr>
            <w:r>
              <w:rPr>
                <w:rFonts w:hint="eastAsia" w:ascii="宋体" w:hAnsi="宋体" w:eastAsia="宋体" w:cs="宋体"/>
                <w:b/>
                <w:color w:val="auto"/>
                <w:kern w:val="0"/>
                <w:szCs w:val="21"/>
                <w:highlight w:val="none"/>
              </w:rPr>
              <w:t>材料设备要求的质量标准：</w:t>
            </w:r>
            <w:r>
              <w:rPr>
                <w:rFonts w:hint="eastAsia" w:ascii="宋体" w:hAnsi="宋体" w:eastAsia="宋体" w:cs="宋体"/>
                <w:color w:val="auto"/>
                <w:szCs w:val="21"/>
                <w:highlight w:val="none"/>
              </w:rPr>
              <w:t>满足设计要求并达到国家、行业和地方现行的相关技术标准。</w:t>
            </w:r>
          </w:p>
        </w:tc>
      </w:tr>
      <w:tr w14:paraId="35F624DE">
        <w:trPr>
          <w:trHeight w:val="20" w:hRule="atLeast"/>
          <w:jc w:val="center"/>
        </w:trPr>
        <w:tc>
          <w:tcPr>
            <w:tcW w:w="1165" w:type="dxa"/>
            <w:noWrap w:val="0"/>
            <w:vAlign w:val="center"/>
          </w:tcPr>
          <w:p w14:paraId="43E7A6F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1.4.1</w:t>
            </w:r>
          </w:p>
        </w:tc>
        <w:tc>
          <w:tcPr>
            <w:tcW w:w="2766" w:type="dxa"/>
            <w:noWrap w:val="0"/>
            <w:vAlign w:val="center"/>
          </w:tcPr>
          <w:p w14:paraId="5746B3A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投标人资格要求</w:t>
            </w:r>
          </w:p>
        </w:tc>
        <w:tc>
          <w:tcPr>
            <w:tcW w:w="5433" w:type="dxa"/>
            <w:noWrap w:val="0"/>
            <w:vAlign w:val="center"/>
          </w:tcPr>
          <w:p w14:paraId="053B8BFB">
            <w:pPr>
              <w:widowControl/>
              <w:adjustRightInd w:val="0"/>
              <w:snapToGrid w:val="0"/>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同招标文件第一章招标公告“十、对投标人的资格要求”。</w:t>
            </w:r>
          </w:p>
        </w:tc>
      </w:tr>
      <w:tr w14:paraId="6286BDE0">
        <w:trPr>
          <w:trHeight w:val="20" w:hRule="atLeast"/>
          <w:jc w:val="center"/>
        </w:trPr>
        <w:tc>
          <w:tcPr>
            <w:tcW w:w="1165" w:type="dxa"/>
            <w:noWrap w:val="0"/>
            <w:vAlign w:val="center"/>
          </w:tcPr>
          <w:p w14:paraId="391724D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1.4.2</w:t>
            </w:r>
          </w:p>
        </w:tc>
        <w:tc>
          <w:tcPr>
            <w:tcW w:w="2766" w:type="dxa"/>
            <w:noWrap w:val="0"/>
            <w:vAlign w:val="center"/>
          </w:tcPr>
          <w:p w14:paraId="4037A8B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是否接受联合体投标</w:t>
            </w:r>
          </w:p>
        </w:tc>
        <w:tc>
          <w:tcPr>
            <w:tcW w:w="5433" w:type="dxa"/>
            <w:noWrap w:val="0"/>
            <w:vAlign w:val="center"/>
          </w:tcPr>
          <w:p w14:paraId="66D26FBA">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同招标文件第一章招标公告“十一、是否允许联合体投标”。</w:t>
            </w:r>
          </w:p>
        </w:tc>
      </w:tr>
      <w:tr w14:paraId="31F4E0E6">
        <w:trPr>
          <w:trHeight w:val="20" w:hRule="atLeast"/>
          <w:jc w:val="center"/>
        </w:trPr>
        <w:tc>
          <w:tcPr>
            <w:tcW w:w="1165" w:type="dxa"/>
            <w:noWrap w:val="0"/>
            <w:vAlign w:val="center"/>
          </w:tcPr>
          <w:p w14:paraId="0340369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1.5</w:t>
            </w:r>
          </w:p>
        </w:tc>
        <w:tc>
          <w:tcPr>
            <w:tcW w:w="2766" w:type="dxa"/>
            <w:noWrap w:val="0"/>
            <w:vAlign w:val="center"/>
          </w:tcPr>
          <w:p w14:paraId="5ECD4D1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费用承担和设计成果补偿</w:t>
            </w:r>
          </w:p>
        </w:tc>
        <w:tc>
          <w:tcPr>
            <w:tcW w:w="5433" w:type="dxa"/>
            <w:noWrap w:val="0"/>
            <w:vAlign w:val="center"/>
          </w:tcPr>
          <w:p w14:paraId="7B061669">
            <w:pPr>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不补偿</w:t>
            </w:r>
          </w:p>
        </w:tc>
      </w:tr>
      <w:tr w14:paraId="1D1CC767">
        <w:trPr>
          <w:trHeight w:val="20" w:hRule="atLeast"/>
          <w:jc w:val="center"/>
        </w:trPr>
        <w:tc>
          <w:tcPr>
            <w:tcW w:w="1165" w:type="dxa"/>
            <w:noWrap w:val="0"/>
            <w:vAlign w:val="center"/>
          </w:tcPr>
          <w:p w14:paraId="6CBF240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1.9.1</w:t>
            </w:r>
          </w:p>
        </w:tc>
        <w:tc>
          <w:tcPr>
            <w:tcW w:w="2766" w:type="dxa"/>
            <w:noWrap w:val="0"/>
            <w:vAlign w:val="center"/>
          </w:tcPr>
          <w:p w14:paraId="048398E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yellow"/>
              </w:rPr>
              <w:t>踏勘</w:t>
            </w:r>
          </w:p>
        </w:tc>
        <w:tc>
          <w:tcPr>
            <w:tcW w:w="5433" w:type="dxa"/>
            <w:noWrap w:val="0"/>
            <w:vAlign w:val="center"/>
          </w:tcPr>
          <w:p>
            <w:r>
              <w:t>招标人统一组织踏勘。踏勘日期为45846，投标人须参加踏勘，参加踏勘的投标人代表（须携带授权书原件）统一在项目现场集合（踏勘联系人及联系方式：踏勘对接人：宋无，电话：127839709，由招标人统一带领投标人到工程现场进行踏勘，其它时间招标人不接受投标人单独踏勘要求。未在上述时间参加踏勘的投标人，视为放弃踏勘。投标人踏堪现场发生的费用自理，投标人自行负责在现场踏勘时所发生的人员伤亡及财产损失。招标人在踏勘现场时介绍的工程场地和相关的工程环境情况，仅供投标人在编制投标文件时参考，招标人不对投标人作出的判断和决策负责。投标人应根据踏勘现场情况充分考虑到施工期间可能发生常见小型灾害、地质变化、天气变化等。</w:t>
              <w:br/>
              <w:t>2、本项目提供的《现场踏勘特别提醒》、《初步地勘报告》、《地灾报告》仅供投标人参考，不作为投标依据，招标人不对投标人作出的判断和决策负责。</w:t>
            </w:r>
          </w:p>
        </w:tc>
      </w:tr>
      <w:tr w14:paraId="67BC7A7F">
        <w:trPr>
          <w:trHeight w:val="20" w:hRule="atLeast"/>
          <w:jc w:val="center"/>
        </w:trPr>
        <w:tc>
          <w:tcPr>
            <w:tcW w:w="1165" w:type="dxa"/>
            <w:noWrap w:val="0"/>
            <w:vAlign w:val="center"/>
          </w:tcPr>
          <w:p w14:paraId="5C27A27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1.10.1</w:t>
            </w:r>
          </w:p>
        </w:tc>
        <w:tc>
          <w:tcPr>
            <w:tcW w:w="2766" w:type="dxa"/>
            <w:noWrap w:val="0"/>
            <w:vAlign w:val="center"/>
          </w:tcPr>
          <w:p w14:paraId="33BC4AB3">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投标预备会</w:t>
            </w:r>
          </w:p>
        </w:tc>
        <w:tc>
          <w:tcPr>
            <w:tcW w:w="5433" w:type="dxa"/>
            <w:noWrap w:val="0"/>
            <w:vAlign w:val="center"/>
          </w:tcPr>
          <w:p w14:paraId="52F6A68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不召开</w:t>
            </w:r>
          </w:p>
        </w:tc>
      </w:tr>
      <w:tr w14:paraId="65AD2594">
        <w:trPr>
          <w:trHeight w:val="20" w:hRule="atLeast"/>
          <w:jc w:val="center"/>
        </w:trPr>
        <w:tc>
          <w:tcPr>
            <w:tcW w:w="1165" w:type="dxa"/>
            <w:noWrap w:val="0"/>
            <w:vAlign w:val="center"/>
          </w:tcPr>
          <w:p w14:paraId="2A3DACD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1.10.2</w:t>
            </w:r>
          </w:p>
        </w:tc>
        <w:tc>
          <w:tcPr>
            <w:tcW w:w="2766" w:type="dxa"/>
            <w:noWrap w:val="0"/>
            <w:vAlign w:val="center"/>
          </w:tcPr>
          <w:p w14:paraId="2C882242">
            <w:pPr>
              <w:widowControl/>
              <w:wordWrap w:val="0"/>
              <w:contextualSpacing/>
              <w:jc w:val="center"/>
              <w:rPr>
                <w:rFonts w:hint="eastAsia" w:ascii="宋体" w:hAnsi="宋体" w:eastAsia="宋体" w:cs="宋体"/>
                <w:color w:val="auto"/>
                <w:szCs w:val="21"/>
                <w:highlight w:val="none"/>
              </w:rPr>
            </w:pPr>
            <w:r>
              <w:rPr>
                <w:rFonts w:hint="eastAsia" w:ascii="宋体" w:hAnsi="宋体" w:eastAsia="宋体" w:cs="宋体"/>
                <w:color w:val="auto"/>
                <w:kern w:val="0"/>
                <w:szCs w:val="21"/>
                <w:highlight w:val="none"/>
              </w:rPr>
              <w:t>投标人要求澄清招标文件</w:t>
            </w:r>
          </w:p>
        </w:tc>
        <w:tc>
          <w:tcPr>
            <w:tcW w:w="5433" w:type="dxa"/>
            <w:noWrap w:val="0"/>
            <w:vAlign w:val="center"/>
          </w:tcPr>
          <w:p w14:paraId="0B79E7AD">
            <w:pPr>
              <w:widowControl/>
              <w:wordWrap w:val="0"/>
              <w:contextualSpacing/>
              <w:rPr>
                <w:rFonts w:hint="eastAsia" w:ascii="宋体" w:hAnsi="宋体" w:eastAsia="宋体" w:cs="宋体"/>
                <w:color w:val="auto"/>
                <w:kern w:val="0"/>
                <w:szCs w:val="21"/>
                <w:highlight w:val="none"/>
              </w:rPr>
            </w:pPr>
            <w:r>
              <w:rPr>
                <w:rFonts w:hint="eastAsia" w:ascii="宋体" w:hAnsi="宋体" w:eastAsia="宋体" w:cs="宋体"/>
                <w:color w:val="auto"/>
                <w:kern w:val="0"/>
                <w:szCs w:val="21"/>
                <w:highlight w:val="none"/>
              </w:rPr>
              <w:t>要求澄清截止时间：投标截止时间前15日。</w:t>
            </w:r>
          </w:p>
          <w:p w14:paraId="077C15F1">
            <w:pPr>
              <w:widowControl/>
              <w:wordWrap w:val="0"/>
              <w:contextualSpacing/>
              <w:rPr>
                <w:rFonts w:hint="eastAsia" w:ascii="宋体" w:hAnsi="宋体" w:eastAsia="宋体" w:cs="宋体"/>
                <w:color w:val="auto"/>
                <w:szCs w:val="21"/>
                <w:highlight w:val="none"/>
                <w:lang w:bidi="ar"/>
              </w:rPr>
            </w:pPr>
            <w:r>
              <w:rPr>
                <w:rFonts w:hint="eastAsia" w:ascii="宋体" w:hAnsi="宋体" w:eastAsia="宋体" w:cs="宋体"/>
                <w:color w:val="auto"/>
                <w:szCs w:val="21"/>
                <w:highlight w:val="none"/>
                <w:lang w:bidi="ar"/>
              </w:rPr>
              <w:t>投标人澄清问题应在投标截止时间前15日登录中国节能环保集团电子采购平台（网址：www.ebidding.cecep.cn/TPBidder/）通过在线方式进行提问，逾期提问的，招标人有权拒绝回复其澄清问题，投标人按招标文件要求编制投标文件。</w:t>
            </w:r>
          </w:p>
        </w:tc>
      </w:tr>
      <w:tr w14:paraId="07CF57ED">
        <w:trPr>
          <w:trHeight w:val="20" w:hRule="atLeast"/>
          <w:jc w:val="center"/>
        </w:trPr>
        <w:tc>
          <w:tcPr>
            <w:tcW w:w="1165" w:type="dxa"/>
            <w:noWrap w:val="0"/>
            <w:vAlign w:val="center"/>
          </w:tcPr>
          <w:p w14:paraId="1DB211D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1.10.3</w:t>
            </w:r>
          </w:p>
        </w:tc>
        <w:tc>
          <w:tcPr>
            <w:tcW w:w="2766" w:type="dxa"/>
            <w:noWrap w:val="0"/>
            <w:vAlign w:val="center"/>
          </w:tcPr>
          <w:p w14:paraId="50879148">
            <w:pPr>
              <w:widowControl/>
              <w:wordWrap w:val="0"/>
              <w:contextualSpacing/>
              <w:jc w:val="center"/>
              <w:rPr>
                <w:rFonts w:hint="eastAsia" w:ascii="宋体" w:hAnsi="宋体" w:eastAsia="宋体" w:cs="宋体"/>
                <w:color w:val="auto"/>
                <w:szCs w:val="21"/>
                <w:highlight w:val="none"/>
              </w:rPr>
            </w:pPr>
            <w:r>
              <w:rPr>
                <w:rFonts w:hint="eastAsia" w:ascii="宋体" w:hAnsi="宋体" w:eastAsia="宋体" w:cs="宋体"/>
                <w:color w:val="auto"/>
                <w:kern w:val="0"/>
                <w:szCs w:val="21"/>
                <w:highlight w:val="none"/>
              </w:rPr>
              <w:t>招标文件澄清发出的形式</w:t>
            </w:r>
          </w:p>
        </w:tc>
        <w:tc>
          <w:tcPr>
            <w:tcW w:w="5433" w:type="dxa"/>
            <w:noWrap w:val="0"/>
            <w:vAlign w:val="center"/>
          </w:tcPr>
          <w:p w14:paraId="69D02EEE">
            <w:pPr>
              <w:widowControl/>
              <w:wordWrap w:val="0"/>
              <w:contextualSpacing/>
              <w:rPr>
                <w:rFonts w:hint="eastAsia" w:ascii="宋体" w:hAnsi="宋体" w:eastAsia="宋体" w:cs="宋体"/>
                <w:color w:val="auto"/>
                <w:kern w:val="0"/>
                <w:szCs w:val="21"/>
                <w:highlight w:val="none"/>
              </w:rPr>
            </w:pPr>
            <w:r>
              <w:rPr>
                <w:rFonts w:hint="eastAsia" w:ascii="宋体" w:hAnsi="宋体" w:eastAsia="宋体" w:cs="宋体"/>
                <w:color w:val="auto"/>
                <w:kern w:val="0"/>
                <w:szCs w:val="21"/>
                <w:highlight w:val="none"/>
              </w:rPr>
              <w:t>澄清发出截止时间：投标截止时间前15日。</w:t>
            </w:r>
          </w:p>
          <w:p w14:paraId="77FB95D1">
            <w:pPr>
              <w:widowControl/>
              <w:numPr>
                <w:ilvl w:val="0"/>
                <w:numId w:val="7"/>
              </w:numPr>
              <w:wordWrap w:val="0"/>
              <w:contextualSpacing/>
              <w:rPr>
                <w:rFonts w:hint="eastAsia" w:ascii="宋体" w:hAnsi="宋体" w:eastAsia="宋体" w:cs="宋体"/>
                <w:color w:val="auto"/>
                <w:highlight w:val="none"/>
              </w:rPr>
            </w:pPr>
            <w:r>
              <w:rPr>
                <w:rFonts w:hint="eastAsia" w:ascii="宋体" w:hAnsi="宋体" w:eastAsia="宋体" w:cs="宋体"/>
                <w:color w:val="auto"/>
                <w:highlight w:val="none"/>
              </w:rPr>
              <w:t>招标文件澄清仅在中国节能环保集团电子采购平台网站（网址：</w:t>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HYPERLINK "http://www.ebidding.cecep.cn/）交易信息中澄清栏目统一向潜在投标人发布澄清公告，是招标文件的组成部分；对于其他渠道发布的招标文件澄清，均为无效文件，不是招标文件的组成部分，招标人及招标代理机构不予承担任何责任。" </w:instrText>
            </w:r>
            <w:r>
              <w:rPr>
                <w:rFonts w:hint="eastAsia" w:ascii="宋体" w:hAnsi="宋体" w:eastAsia="宋体" w:cs="宋体"/>
                <w:color w:val="auto"/>
                <w:highlight w:val="none"/>
              </w:rPr>
              <w:fldChar w:fldCharType="separate"/>
            </w:r>
            <w:r>
              <w:rPr>
                <w:rStyle w:val="41"/>
                <w:rFonts w:hint="eastAsia" w:ascii="宋体" w:hAnsi="宋体" w:eastAsia="宋体" w:cs="宋体"/>
                <w:color w:val="auto"/>
                <w:highlight w:val="none"/>
                <w:u w:val="none"/>
              </w:rPr>
              <w:t>www.ebidding.cecep.cn/）交易信息中澄清栏目统一向潜在投标人发布澄清公告，是招标文件的组成部分；对于其他渠道发布的招标文件澄清，均为无效文件，不是招标文件的组成部分，招标人及招标代理机构不予承担任何责任。</w:t>
            </w:r>
            <w:r>
              <w:rPr>
                <w:rFonts w:hint="eastAsia" w:ascii="宋体" w:hAnsi="宋体" w:eastAsia="宋体" w:cs="宋体"/>
                <w:color w:val="auto"/>
                <w:highlight w:val="none"/>
              </w:rPr>
              <w:fldChar w:fldCharType="end"/>
            </w:r>
          </w:p>
          <w:p w14:paraId="439D7371">
            <w:pPr>
              <w:widowControl/>
              <w:wordWrap w:val="0"/>
              <w:contextualSpacing/>
              <w:rPr>
                <w:rFonts w:hint="eastAsia" w:ascii="宋体" w:hAnsi="宋体" w:eastAsia="宋体" w:cs="宋体"/>
                <w:color w:val="auto"/>
                <w:szCs w:val="21"/>
                <w:highlight w:val="none"/>
              </w:rPr>
            </w:pPr>
            <w:r>
              <w:rPr>
                <w:rFonts w:hint="eastAsia" w:ascii="宋体" w:hAnsi="宋体" w:eastAsia="宋体" w:cs="宋体"/>
                <w:color w:val="auto"/>
                <w:highlight w:val="none"/>
              </w:rPr>
              <w:t>2、如发布的澄清公告影响潜在投标人编制投标文件，则可能同时发布澄清文件（即更新后的完整版招标文件），所有获取了招标文件的潜在投标人须凭数字证书（CA）或账号密码www.ebidding.cecep.cn/TPBidder/下载澄清文件，并根据发布的澄清文件编制投标文件。</w:t>
            </w:r>
          </w:p>
        </w:tc>
      </w:tr>
      <w:tr w14:paraId="6B3C14F3">
        <w:trPr>
          <w:trHeight w:val="20" w:hRule="atLeast"/>
          <w:jc w:val="center"/>
        </w:trPr>
        <w:tc>
          <w:tcPr>
            <w:tcW w:w="1165" w:type="dxa"/>
            <w:noWrap w:val="0"/>
            <w:vAlign w:val="center"/>
          </w:tcPr>
          <w:p w14:paraId="38E9C6AD">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1.11.1</w:t>
            </w:r>
          </w:p>
        </w:tc>
        <w:tc>
          <w:tcPr>
            <w:tcW w:w="2766" w:type="dxa"/>
            <w:noWrap w:val="0"/>
            <w:vAlign w:val="center"/>
          </w:tcPr>
          <w:p w14:paraId="190A348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招标人规定由分包人承担的工作</w:t>
            </w:r>
          </w:p>
        </w:tc>
        <w:tc>
          <w:tcPr>
            <w:tcW w:w="5433" w:type="dxa"/>
            <w:noWrap w:val="0"/>
            <w:vAlign w:val="center"/>
          </w:tcPr>
          <w:p w14:paraId="4D6BA31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w:t>
            </w:r>
          </w:p>
        </w:tc>
      </w:tr>
      <w:tr w14:paraId="5994E665">
        <w:trPr>
          <w:trHeight w:val="20" w:hRule="atLeast"/>
          <w:jc w:val="center"/>
        </w:trPr>
        <w:tc>
          <w:tcPr>
            <w:tcW w:w="1165" w:type="dxa"/>
            <w:noWrap w:val="0"/>
            <w:vAlign w:val="center"/>
          </w:tcPr>
          <w:p w14:paraId="73F2699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1.11.2</w:t>
            </w:r>
          </w:p>
        </w:tc>
        <w:tc>
          <w:tcPr>
            <w:tcW w:w="2766" w:type="dxa"/>
            <w:noWrap w:val="0"/>
            <w:vAlign w:val="center"/>
          </w:tcPr>
          <w:p w14:paraId="5C66D90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投标人拟分包的工作</w:t>
            </w:r>
          </w:p>
        </w:tc>
        <w:tc>
          <w:tcPr>
            <w:tcW w:w="5433" w:type="dxa"/>
            <w:noWrap w:val="0"/>
            <w:vAlign w:val="center"/>
          </w:tcPr>
          <w:p w14:paraId="16A58545">
            <w:pPr>
              <w:rPr>
                <w:rFonts w:hint="eastAsia" w:ascii="宋体" w:hAnsi="宋体" w:eastAsia="宋体" w:cs="宋体"/>
                <w:color w:val="auto"/>
                <w:highlight w:val="none"/>
              </w:rPr>
            </w:pPr>
            <w:r>
              <w:rPr>
                <w:rFonts w:hint="eastAsia" w:ascii="宋体" w:hAnsi="宋体" w:eastAsia="宋体" w:cs="宋体"/>
                <w:color w:val="auto"/>
                <w:highlight w:val="none"/>
              </w:rPr>
              <w:t>本项目不允许转包。项目分包按《招标投标法》规定执行。承包人发生分包（专业分包、劳务分包）的需经业主同意，拟定分包进场施工前报业主审批，经业主同意后向业主提交分包合同备案，未经业主同意发生分包的，其分包工程完工量不计入总包完工工程中，相应工程款不予支付，且业主不承担任何责任。承包人不得将工程整体转包或违规分包或未经发包人许可分包，一经发现则必须限期整改纠正，如承包人未按要求整改的，发包人有权根据情节轻重程度要求承包人支付200000元-1000000元违约金，相应完工量不计入总包完工工程中，相应工程款不予支付，并且发包人有权中止或终止合同，发包人不承担任何责任。</w:t>
            </w:r>
          </w:p>
          <w:p w14:paraId="4C991748">
            <w:pPr>
              <w:rPr>
                <w:rFonts w:hint="eastAsia" w:ascii="宋体" w:hAnsi="宋体" w:eastAsia="宋体" w:cs="宋体"/>
                <w:color w:val="auto"/>
                <w:highlight w:val="none"/>
              </w:rPr>
            </w:pPr>
            <w:r>
              <w:rPr>
                <w:rFonts w:hint="eastAsia" w:ascii="宋体" w:hAnsi="宋体" w:eastAsia="宋体" w:cs="宋体"/>
                <w:color w:val="auto"/>
                <w:highlight w:val="none"/>
              </w:rPr>
              <w:t>本项目分包按《中华人民共和国招标投标法》规定执行。</w:t>
            </w:r>
          </w:p>
          <w:p w14:paraId="34B33601">
            <w:pPr>
              <w:rPr>
                <w:rFonts w:hint="eastAsia" w:ascii="宋体" w:hAnsi="宋体" w:eastAsia="宋体" w:cs="宋体"/>
                <w:color w:val="auto"/>
                <w:highlight w:val="none"/>
              </w:rPr>
            </w:pPr>
            <w:r>
              <w:rPr>
                <w:rFonts w:hint="eastAsia" w:ascii="宋体" w:hAnsi="宋体" w:eastAsia="宋体" w:cs="宋体"/>
                <w:color w:val="auto"/>
                <w:highlight w:val="none"/>
              </w:rPr>
              <w:t>（1）对分包人的资质或业绩要求：仅允许对非主体、非关键性工作进行分包，分包符合所分包专业的最低专业承包资质，施工资质应符合国家相关规定，对输电、供电、受电电力设施的安装、维修和试验</w:t>
            </w:r>
            <w:r>
              <w:rPr>
                <w:rFonts w:hint="eastAsia" w:ascii="宋体" w:hAnsi="宋体" w:eastAsia="宋体" w:cs="宋体"/>
                <w:color w:val="auto"/>
                <w:highlight w:val="none"/>
                <w:lang w:eastAsia="zh-CN"/>
              </w:rPr>
              <w:t>的</w:t>
            </w:r>
            <w:r>
              <w:rPr>
                <w:rFonts w:hint="eastAsia" w:ascii="宋体" w:hAnsi="宋体" w:eastAsia="宋体" w:cs="宋体"/>
                <w:color w:val="auto"/>
                <w:highlight w:val="none"/>
                <w:lang w:val="en-US" w:eastAsia="zh-CN"/>
              </w:rPr>
              <w:t>分包，分包人须具</w:t>
            </w:r>
            <w:r>
              <w:rPr>
                <w:rFonts w:hint="eastAsia" w:ascii="宋体" w:hAnsi="宋体" w:eastAsia="宋体" w:cs="宋体"/>
                <w:color w:val="auto"/>
                <w:sz w:val="21"/>
                <w:szCs w:val="21"/>
                <w:highlight w:val="none"/>
              </w:rPr>
              <w:t>备承装（修、试）电力设施许可证（承装类</w:t>
            </w:r>
            <w:r>
              <w:rPr>
                <w:rFonts w:hint="eastAsia" w:ascii="宋体" w:hAnsi="宋体" w:eastAsia="宋体" w:cs="宋体"/>
                <w:color w:val="auto"/>
                <w:sz w:val="21"/>
                <w:szCs w:val="21"/>
                <w:highlight w:val="none"/>
                <w:lang w:val="en-US" w:eastAsia="zh-CN"/>
              </w:rPr>
              <w:t>二</w:t>
            </w:r>
            <w:r>
              <w:rPr>
                <w:rFonts w:hint="eastAsia" w:ascii="宋体" w:hAnsi="宋体" w:eastAsia="宋体" w:cs="宋体"/>
                <w:color w:val="auto"/>
                <w:sz w:val="21"/>
                <w:szCs w:val="21"/>
                <w:highlight w:val="none"/>
              </w:rPr>
              <w:t>级、承修类</w:t>
            </w:r>
            <w:r>
              <w:rPr>
                <w:rFonts w:hint="eastAsia" w:ascii="宋体" w:hAnsi="宋体" w:eastAsia="宋体" w:cs="宋体"/>
                <w:color w:val="auto"/>
                <w:sz w:val="21"/>
                <w:szCs w:val="21"/>
                <w:highlight w:val="none"/>
                <w:lang w:val="en-US" w:eastAsia="zh-CN"/>
              </w:rPr>
              <w:t>二</w:t>
            </w:r>
            <w:r>
              <w:rPr>
                <w:rFonts w:hint="eastAsia" w:ascii="宋体" w:hAnsi="宋体" w:eastAsia="宋体" w:cs="宋体"/>
                <w:color w:val="auto"/>
                <w:sz w:val="21"/>
                <w:szCs w:val="21"/>
                <w:highlight w:val="none"/>
              </w:rPr>
              <w:t>级、承试类</w:t>
            </w:r>
            <w:r>
              <w:rPr>
                <w:rFonts w:hint="eastAsia" w:ascii="宋体" w:hAnsi="宋体" w:eastAsia="宋体" w:cs="宋体"/>
                <w:color w:val="auto"/>
                <w:sz w:val="21"/>
                <w:szCs w:val="21"/>
                <w:highlight w:val="none"/>
                <w:lang w:val="en-US" w:eastAsia="zh-CN"/>
              </w:rPr>
              <w:t>二</w:t>
            </w:r>
            <w:r>
              <w:rPr>
                <w:rFonts w:hint="eastAsia" w:ascii="宋体" w:hAnsi="宋体" w:eastAsia="宋体" w:cs="宋体"/>
                <w:color w:val="auto"/>
                <w:sz w:val="21"/>
                <w:szCs w:val="21"/>
                <w:highlight w:val="none"/>
              </w:rPr>
              <w:t>级及以上资质）</w:t>
            </w:r>
            <w:r>
              <w:rPr>
                <w:rFonts w:hint="eastAsia" w:ascii="宋体" w:hAnsi="宋体" w:eastAsia="宋体" w:cs="宋体"/>
                <w:color w:val="auto"/>
                <w:sz w:val="21"/>
                <w:szCs w:val="21"/>
                <w:highlight w:val="none"/>
                <w:lang w:eastAsia="zh-CN"/>
              </w:rPr>
              <w:t>，</w:t>
            </w:r>
            <w:r>
              <w:rPr>
                <w:rFonts w:hint="eastAsia" w:ascii="宋体" w:hAnsi="宋体" w:eastAsia="宋体" w:cs="宋体"/>
                <w:color w:val="auto"/>
                <w:highlight w:val="none"/>
              </w:rPr>
              <w:t>并通过当地电力公司审查。禁止分包单位再分包，即只能进行一次分包。</w:t>
            </w:r>
          </w:p>
          <w:p w14:paraId="30B8E71C">
            <w:pPr>
              <w:rPr>
                <w:rFonts w:hint="eastAsia" w:ascii="宋体" w:hAnsi="宋体" w:eastAsia="宋体" w:cs="宋体"/>
                <w:color w:val="auto"/>
                <w:highlight w:val="none"/>
              </w:rPr>
            </w:pPr>
            <w:r>
              <w:rPr>
                <w:rFonts w:hint="eastAsia" w:ascii="宋体" w:hAnsi="宋体" w:eastAsia="宋体" w:cs="宋体"/>
                <w:color w:val="auto"/>
                <w:highlight w:val="none"/>
              </w:rPr>
              <w:t>（2）分包人必须具有良好的财力，近两年内每年均不得亏损、具有良好的银行资信和商业信誉，没有处于被停业、财产被接管、冻结、破产的状态。</w:t>
            </w:r>
          </w:p>
          <w:p w14:paraId="2059C931">
            <w:pPr>
              <w:rPr>
                <w:rFonts w:hint="eastAsia" w:ascii="宋体" w:hAnsi="宋体" w:eastAsia="宋体" w:cs="宋体"/>
                <w:color w:val="auto"/>
                <w:highlight w:val="none"/>
              </w:rPr>
            </w:pPr>
            <w:r>
              <w:rPr>
                <w:rFonts w:hint="eastAsia" w:ascii="宋体" w:hAnsi="宋体" w:eastAsia="宋体" w:cs="宋体"/>
                <w:color w:val="auto"/>
                <w:highlight w:val="none"/>
              </w:rPr>
              <w:t>（3）承包人未按《中华人民共和国招标投标法》规定进行分包，发包人有权勒令该分包人退场，并追究由此给发包人造成的损失，并视工程大小情况处以罚款。</w:t>
            </w:r>
          </w:p>
          <w:p w14:paraId="75869364">
            <w:pPr>
              <w:rPr>
                <w:rFonts w:hint="eastAsia" w:ascii="宋体" w:hAnsi="宋体" w:eastAsia="宋体" w:cs="宋体"/>
                <w:color w:val="auto"/>
                <w:highlight w:val="none"/>
              </w:rPr>
            </w:pPr>
            <w:r>
              <w:rPr>
                <w:rFonts w:hint="eastAsia" w:ascii="宋体" w:hAnsi="宋体" w:eastAsia="宋体" w:cs="宋体"/>
                <w:color w:val="auto"/>
                <w:highlight w:val="none"/>
              </w:rPr>
              <w:t>（4）设备采购：《太阳能公司2023-2025 年度光伏设备类合格供应商备选库名单》内的乙供设备及材料必须由总承包单位从中选择投标人采购（备选库内的同类电气设备须选用同一品牌。</w:t>
            </w:r>
          </w:p>
          <w:p w14:paraId="5EDE76FC">
            <w:pPr>
              <w:rPr>
                <w:rFonts w:hint="eastAsia" w:ascii="宋体" w:hAnsi="宋体" w:eastAsia="宋体" w:cs="宋体"/>
                <w:color w:val="auto"/>
                <w:highlight w:val="none"/>
              </w:rPr>
            </w:pPr>
            <w:r>
              <w:rPr>
                <w:rFonts w:hint="eastAsia" w:ascii="宋体" w:hAnsi="宋体" w:eastAsia="宋体" w:cs="宋体"/>
                <w:color w:val="auto"/>
                <w:highlight w:val="none"/>
              </w:rPr>
              <w:t>（5）承包人发生分包</w:t>
            </w:r>
            <w:r>
              <w:rPr>
                <w:rFonts w:hint="eastAsia" w:ascii="宋体" w:hAnsi="宋体" w:eastAsia="宋体" w:cs="宋体"/>
                <w:color w:val="auto"/>
                <w:highlight w:val="none"/>
                <w:lang w:eastAsia="zh-CN"/>
              </w:rPr>
              <w:t>的</w:t>
            </w:r>
            <w:r>
              <w:rPr>
                <w:rFonts w:hint="eastAsia" w:ascii="宋体" w:hAnsi="宋体" w:eastAsia="宋体" w:cs="宋体"/>
                <w:color w:val="auto"/>
                <w:highlight w:val="none"/>
              </w:rPr>
              <w:t>需</w:t>
            </w:r>
            <w:r>
              <w:rPr>
                <w:rFonts w:hint="eastAsia" w:ascii="宋体" w:hAnsi="宋体" w:eastAsia="宋体" w:cs="宋体"/>
                <w:color w:val="auto"/>
                <w:highlight w:val="none"/>
                <w:lang w:val="en-US" w:eastAsia="zh-CN"/>
              </w:rPr>
              <w:t>经业主同意，并</w:t>
            </w:r>
            <w:r>
              <w:rPr>
                <w:rFonts w:hint="eastAsia" w:ascii="宋体" w:hAnsi="宋体" w:eastAsia="宋体" w:cs="宋体"/>
                <w:color w:val="auto"/>
                <w:highlight w:val="none"/>
              </w:rPr>
              <w:t>向业主提交分包合同备案</w:t>
            </w:r>
            <w:r>
              <w:rPr>
                <w:rFonts w:hint="eastAsia" w:ascii="宋体" w:hAnsi="宋体" w:eastAsia="宋体" w:cs="宋体"/>
                <w:color w:val="auto"/>
                <w:highlight w:val="none"/>
                <w:lang w:eastAsia="zh-CN"/>
              </w:rPr>
              <w:t>，</w:t>
            </w:r>
            <w:r>
              <w:rPr>
                <w:rFonts w:hint="eastAsia" w:ascii="宋体" w:hAnsi="宋体" w:eastAsia="宋体" w:cs="宋体"/>
                <w:color w:val="auto"/>
                <w:highlight w:val="none"/>
                <w:lang w:val="en-US" w:eastAsia="zh-CN"/>
              </w:rPr>
              <w:t>未经业主同意发生分包的，其分包工程完工量不计入总包完工工程中，相应工程款不予支付，且业主不承担任何责任</w:t>
            </w:r>
            <w:r>
              <w:rPr>
                <w:rFonts w:hint="eastAsia" w:ascii="宋体" w:hAnsi="宋体" w:eastAsia="宋体" w:cs="宋体"/>
                <w:color w:val="auto"/>
                <w:highlight w:val="none"/>
              </w:rPr>
              <w:t>。</w:t>
            </w:r>
          </w:p>
          <w:p w14:paraId="5880CB6F">
            <w:pPr>
              <w:rPr>
                <w:rFonts w:hint="default" w:ascii="宋体" w:hAnsi="宋体" w:eastAsia="宋体" w:cs="宋体"/>
                <w:color w:val="auto"/>
                <w:highlight w:val="none"/>
                <w:lang w:val="en-US" w:eastAsia="zh-CN"/>
              </w:rPr>
            </w:pPr>
            <w:r>
              <w:rPr>
                <w:rFonts w:hint="eastAsia" w:ascii="宋体" w:hAnsi="宋体" w:eastAsia="宋体" w:cs="宋体"/>
                <w:color w:val="auto"/>
                <w:highlight w:val="none"/>
              </w:rPr>
              <w:t>（6）承包人应确保分包人对所招用农民工的施行实名制管理，并对分包人劳动用工和工资发放等情况进行监督</w:t>
            </w:r>
            <w:r>
              <w:rPr>
                <w:rFonts w:hint="eastAsia" w:ascii="宋体" w:hAnsi="宋体" w:eastAsia="宋体" w:cs="宋体"/>
                <w:color w:val="auto"/>
                <w:highlight w:val="none"/>
                <w:lang w:val="en-US" w:eastAsia="zh-CN"/>
              </w:rPr>
              <w:t>并承担由此造成的责任风险</w:t>
            </w:r>
            <w:r>
              <w:rPr>
                <w:rFonts w:hint="eastAsia" w:ascii="宋体" w:hAnsi="宋体" w:eastAsia="宋体" w:cs="宋体"/>
                <w:color w:val="auto"/>
                <w:highlight w:val="none"/>
              </w:rPr>
              <w:t>。</w:t>
            </w:r>
          </w:p>
        </w:tc>
      </w:tr>
      <w:tr w14:paraId="3D5F5BA1">
        <w:trPr>
          <w:trHeight w:val="20" w:hRule="atLeast"/>
          <w:jc w:val="center"/>
        </w:trPr>
        <w:tc>
          <w:tcPr>
            <w:tcW w:w="1165" w:type="dxa"/>
            <w:noWrap w:val="0"/>
            <w:vAlign w:val="center"/>
          </w:tcPr>
          <w:p w14:paraId="7C18687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1.12</w:t>
            </w:r>
          </w:p>
        </w:tc>
        <w:tc>
          <w:tcPr>
            <w:tcW w:w="2766" w:type="dxa"/>
            <w:noWrap w:val="0"/>
            <w:vAlign w:val="center"/>
          </w:tcPr>
          <w:p w14:paraId="7334ED3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偏离</w:t>
            </w:r>
          </w:p>
        </w:tc>
        <w:tc>
          <w:tcPr>
            <w:tcW w:w="5433" w:type="dxa"/>
            <w:noWrap w:val="0"/>
            <w:vAlign w:val="center"/>
          </w:tcPr>
          <w:p w14:paraId="1FA55CE9">
            <w:pPr>
              <w:widowControl/>
              <w:wordWrap w:val="0"/>
              <w:spacing w:line="360" w:lineRule="exact"/>
              <w:contextualSpacing/>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1、</w:t>
            </w:r>
            <w:r>
              <w:rPr>
                <w:rFonts w:hint="eastAsia" w:ascii="宋体" w:hAnsi="宋体" w:eastAsia="宋体" w:cs="宋体"/>
                <w:b/>
                <w:bCs/>
                <w:color w:val="auto"/>
                <w:szCs w:val="21"/>
                <w:highlight w:val="yellow"/>
              </w:rPr>
              <w:t>招标文件第三章评标</w:t>
            </w:r>
            <w:r>
              <w:rPr>
                <w:rFonts w:hint="eastAsia" w:ascii="宋体" w:hAnsi="宋体" w:eastAsia="宋体" w:cs="宋体"/>
                <w:b/>
                <w:bCs/>
                <w:color w:val="auto"/>
                <w:szCs w:val="21"/>
                <w:highlight w:val="none"/>
              </w:rPr>
              <w:t>办法中初步评审的所有内容均不允许负偏离，须满足或</w:t>
            </w:r>
            <w:r>
              <w:rPr>
                <w:rFonts w:hint="eastAsia" w:ascii="宋体" w:hAnsi="宋体" w:eastAsia="宋体" w:cs="宋体"/>
                <w:b/>
                <w:bCs/>
                <w:color w:val="auto"/>
                <w:szCs w:val="21"/>
                <w:highlight w:val="none"/>
                <w:lang w:eastAsia="zh-CN"/>
              </w:rPr>
              <w:t>更有利于</w:t>
            </w:r>
            <w:r>
              <w:rPr>
                <w:rFonts w:hint="eastAsia" w:ascii="宋体" w:hAnsi="宋体" w:eastAsia="宋体" w:cs="宋体"/>
                <w:b/>
                <w:bCs/>
                <w:color w:val="auto"/>
                <w:szCs w:val="21"/>
                <w:highlight w:val="none"/>
              </w:rPr>
              <w:t>招标文件的要求，否则其投标将被否决。</w:t>
            </w:r>
          </w:p>
          <w:p w14:paraId="43A8527C">
            <w:pPr>
              <w:widowControl/>
              <w:wordWrap w:val="0"/>
              <w:spacing w:line="360" w:lineRule="exact"/>
              <w:contextualSpacing/>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2、</w:t>
            </w:r>
            <w:r>
              <w:rPr>
                <w:rFonts w:hint="eastAsia" w:ascii="宋体" w:hAnsi="宋体" w:eastAsia="宋体" w:cs="宋体"/>
                <w:b/>
                <w:bCs/>
                <w:color w:val="auto"/>
                <w:szCs w:val="21"/>
                <w:highlight w:val="yellow"/>
              </w:rPr>
              <w:t>偏离内容须在第七章投标文件格式商务</w:t>
            </w:r>
            <w:r>
              <w:rPr>
                <w:rFonts w:hint="eastAsia" w:ascii="宋体" w:hAnsi="宋体" w:eastAsia="宋体" w:cs="宋体"/>
                <w:b/>
                <w:bCs/>
                <w:color w:val="auto"/>
                <w:szCs w:val="21"/>
                <w:highlight w:val="none"/>
              </w:rPr>
              <w:t>技术偏离表中列明，未列明的视为完全响应招标文件的全部要求。</w:t>
            </w:r>
          </w:p>
        </w:tc>
      </w:tr>
      <w:tr w14:paraId="45C95F8B">
        <w:trPr>
          <w:trHeight w:val="20" w:hRule="atLeast"/>
          <w:jc w:val="center"/>
        </w:trPr>
        <w:tc>
          <w:tcPr>
            <w:tcW w:w="1165" w:type="dxa"/>
            <w:noWrap w:val="0"/>
            <w:vAlign w:val="center"/>
          </w:tcPr>
          <w:p w14:paraId="1A6E2F4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2.1</w:t>
            </w:r>
          </w:p>
        </w:tc>
        <w:tc>
          <w:tcPr>
            <w:tcW w:w="2766" w:type="dxa"/>
            <w:noWrap w:val="0"/>
            <w:vAlign w:val="center"/>
          </w:tcPr>
          <w:p w14:paraId="5B028FA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构成招标文件的其他资料</w:t>
            </w:r>
          </w:p>
        </w:tc>
        <w:tc>
          <w:tcPr>
            <w:tcW w:w="5433" w:type="dxa"/>
            <w:noWrap w:val="0"/>
            <w:vAlign w:val="center"/>
          </w:tcPr>
          <w:p w14:paraId="0F137321">
            <w:pPr>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对于招标文件的澄清及修改，其他附件见招标文件第六章发包人提供的资料。</w:t>
            </w:r>
          </w:p>
        </w:tc>
      </w:tr>
      <w:tr w14:paraId="0A0E29B7">
        <w:trPr>
          <w:trHeight w:val="20" w:hRule="atLeast"/>
          <w:jc w:val="center"/>
        </w:trPr>
        <w:tc>
          <w:tcPr>
            <w:tcW w:w="1165" w:type="dxa"/>
            <w:noWrap w:val="0"/>
            <w:vAlign w:val="center"/>
          </w:tcPr>
          <w:p w14:paraId="37DBA9E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2.2.2</w:t>
            </w:r>
          </w:p>
        </w:tc>
        <w:tc>
          <w:tcPr>
            <w:tcW w:w="2766" w:type="dxa"/>
            <w:noWrap w:val="0"/>
            <w:vAlign w:val="center"/>
          </w:tcPr>
          <w:p w14:paraId="4AF1C2DA">
            <w:pPr>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投标截止时间</w:t>
            </w:r>
          </w:p>
        </w:tc>
        <w:tc>
          <w:tcPr>
            <w:tcW w:w="5433" w:type="dxa"/>
            <w:noWrap w:val="0"/>
            <w:vAlign w:val="center"/>
          </w:tcPr>
          <w:p w14:paraId="24F8F073">
            <w:pPr>
              <w:jc w:val="left"/>
              <w:rPr>
                <w:rFonts w:hint="eastAsia" w:ascii="宋体" w:hAnsi="宋体" w:eastAsia="宋体" w:cs="宋体"/>
                <w:color w:val="auto"/>
                <w:szCs w:val="21"/>
                <w:highlight w:val="none"/>
              </w:rPr>
            </w:pPr>
            <w:r>
              <w:rPr>
                <w:rFonts w:hint="eastAsia" w:ascii="宋体" w:hAnsi="宋体" w:eastAsia="宋体" w:cs="宋体"/>
                <w:b/>
                <w:bCs/>
                <w:color w:val="auto"/>
                <w:kern w:val="0"/>
                <w:szCs w:val="21"/>
                <w:highlight w:val="yellow"/>
              </w:rPr>
              <w:t>同招标文件第一章招标公告“十五、开标时间（暨投标截止时间）及地点”中“（1</w:t>
            </w:r>
            <w:r>
              <w:rPr>
                <w:rFonts w:hint="eastAsia" w:ascii="宋体" w:hAnsi="宋体" w:eastAsia="宋体" w:cs="宋体"/>
                <w:b/>
                <w:bCs/>
                <w:color w:val="auto"/>
                <w:kern w:val="0"/>
                <w:szCs w:val="21"/>
                <w:highlight w:val="none"/>
              </w:rPr>
              <w:t>）开标时间”。</w:t>
            </w:r>
          </w:p>
        </w:tc>
      </w:tr>
      <w:tr w14:paraId="0F0148B8">
        <w:trPr>
          <w:trHeight w:val="20" w:hRule="atLeast"/>
          <w:jc w:val="center"/>
        </w:trPr>
        <w:tc>
          <w:tcPr>
            <w:tcW w:w="1165" w:type="dxa"/>
            <w:noWrap w:val="0"/>
            <w:vAlign w:val="center"/>
          </w:tcPr>
          <w:p w14:paraId="7F87637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3.1.1</w:t>
            </w:r>
          </w:p>
        </w:tc>
        <w:tc>
          <w:tcPr>
            <w:tcW w:w="2766" w:type="dxa"/>
            <w:noWrap w:val="0"/>
            <w:vAlign w:val="center"/>
          </w:tcPr>
          <w:p w14:paraId="55978E5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构成投标文件的其他资料</w:t>
            </w:r>
          </w:p>
        </w:tc>
        <w:tc>
          <w:tcPr>
            <w:tcW w:w="5433" w:type="dxa"/>
            <w:noWrap w:val="0"/>
            <w:vAlign w:val="center"/>
          </w:tcPr>
          <w:p w14:paraId="06AEB3A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w:t>
            </w:r>
          </w:p>
        </w:tc>
      </w:tr>
      <w:tr w14:paraId="6D345037">
        <w:trPr>
          <w:trHeight w:val="20" w:hRule="atLeast"/>
          <w:jc w:val="center"/>
        </w:trPr>
        <w:tc>
          <w:tcPr>
            <w:tcW w:w="1165" w:type="dxa"/>
            <w:noWrap w:val="0"/>
            <w:vAlign w:val="center"/>
          </w:tcPr>
          <w:p w14:paraId="2C67330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3.2.4</w:t>
            </w:r>
          </w:p>
        </w:tc>
        <w:tc>
          <w:tcPr>
            <w:tcW w:w="2766" w:type="dxa"/>
            <w:noWrap w:val="0"/>
            <w:vAlign w:val="center"/>
          </w:tcPr>
          <w:p w14:paraId="3C2F943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最高投标限价</w:t>
            </w:r>
          </w:p>
        </w:tc>
        <w:tc>
          <w:tcPr>
            <w:tcW w:w="5433" w:type="dxa"/>
            <w:noWrap w:val="0"/>
            <w:vAlign w:val="center"/>
          </w:tcPr>
          <w:p w14:paraId="01811888">
            <w:pPr>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本项目不设最高投标限价。</w:t>
            </w:r>
          </w:p>
        </w:tc>
      </w:tr>
      <w:tr w14:paraId="3AC1E9BA">
        <w:trPr>
          <w:trHeight w:val="90" w:hRule="atLeast"/>
          <w:jc w:val="center"/>
        </w:trPr>
        <w:tc>
          <w:tcPr>
            <w:tcW w:w="1165" w:type="dxa"/>
            <w:noWrap w:val="0"/>
            <w:vAlign w:val="center"/>
          </w:tcPr>
          <w:p w14:paraId="43CBE0C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3.2.5</w:t>
            </w:r>
          </w:p>
        </w:tc>
        <w:tc>
          <w:tcPr>
            <w:tcW w:w="2766" w:type="dxa"/>
            <w:noWrap w:val="0"/>
            <w:vAlign w:val="center"/>
          </w:tcPr>
          <w:p w14:paraId="59563BF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投标报价的其他要求</w:t>
            </w:r>
          </w:p>
        </w:tc>
        <w:tc>
          <w:tcPr>
            <w:tcW w:w="5433" w:type="dxa"/>
            <w:noWrap w:val="0"/>
            <w:vAlign w:val="center"/>
          </w:tcPr>
          <w:p w14:paraId="47B0175D">
            <w:pPr>
              <w:pStyle w:val="3"/>
              <w:spacing w:after="0"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包含本项目所涉及所有的勘察费、设计费、设备材料采购费（包含升压站</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储能系统（除甲供设备外）</w:t>
            </w:r>
            <w:r>
              <w:rPr>
                <w:rFonts w:hint="eastAsia" w:ascii="宋体" w:hAnsi="宋体" w:eastAsia="宋体" w:cs="宋体"/>
                <w:color w:val="auto"/>
                <w:szCs w:val="21"/>
                <w:highlight w:val="none"/>
              </w:rPr>
              <w:t>全部设备设施</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建筑安装工程费</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含甲供设备</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、建筑工程和安装工程保险费</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含甲供设备</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协调费（光伏区红线内土地交付相关协调费用，业主已签订本项目所有土地租赁及青苗补偿合同并由业主支付此项费用，除此费用以外的费用均包含在协调费中）、临时用地、</w:t>
            </w:r>
            <w:r>
              <w:rPr>
                <w:rFonts w:hint="eastAsia" w:ascii="宋体" w:hAnsi="宋体" w:eastAsia="宋体" w:cs="宋体"/>
                <w:color w:val="auto"/>
                <w:szCs w:val="21"/>
                <w:highlight w:val="none"/>
              </w:rPr>
              <w:t>送出线路所有手续、征地、青苗及地表附着物补偿、协调的相关费用</w:t>
            </w:r>
            <w:r>
              <w:rPr>
                <w:rFonts w:hint="eastAsia" w:ascii="宋体" w:hAnsi="宋体" w:eastAsia="宋体" w:cs="宋体"/>
                <w:color w:val="auto"/>
                <w:szCs w:val="21"/>
                <w:highlight w:val="none"/>
                <w:lang w:val="en-US" w:eastAsia="zh-CN"/>
              </w:rPr>
              <w:t>）、升压站场平及围挡工程费、集中式智能运维平台费（包含但不限于</w:t>
            </w:r>
            <w:r>
              <w:rPr>
                <w:rFonts w:hint="eastAsia" w:ascii="宋体" w:hAnsi="宋体" w:eastAsia="宋体" w:cs="宋体"/>
                <w:b w:val="0"/>
                <w:bCs w:val="0"/>
                <w:color w:val="auto"/>
                <w:kern w:val="0"/>
                <w:szCs w:val="21"/>
                <w:highlight w:val="none"/>
                <w:lang w:val="en-US" w:eastAsia="zh-CN"/>
              </w:rPr>
              <w:t>设备费、调试费和后期3年运维费用</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相关手续费等(即便在招标范围内没有载明，但实际证明是确保项目发电运行、并网、环评验收、水保验收、确保通过各方验收所必需的，则需纳入勘察、设计、采购、安装及提供服务范围，并且最终由业主方确定），同时还应包括税金、规费等完成本项目招标内容及合同内容的一切费用，除投标报价外不再支付任何费用。</w:t>
            </w:r>
          </w:p>
          <w:p w14:paraId="7A09F7A1">
            <w:pPr>
              <w:pStyle w:val="104"/>
              <w:autoSpaceDE/>
              <w:autoSpaceDN/>
              <w:spacing w:afterLines="0" w:line="240" w:lineRule="auto"/>
              <w:rPr>
                <w:rFonts w:hint="eastAsia" w:ascii="宋体" w:hAnsi="宋体" w:eastAsia="宋体" w:cs="宋体"/>
                <w:color w:val="auto"/>
                <w:kern w:val="2"/>
                <w:sz w:val="21"/>
                <w:szCs w:val="21"/>
                <w:highlight w:val="none"/>
              </w:rPr>
            </w:pPr>
            <w:r>
              <w:rPr>
                <w:rFonts w:hint="eastAsia" w:ascii="宋体" w:hAnsi="宋体" w:eastAsia="宋体" w:cs="宋体"/>
                <w:color w:val="auto"/>
                <w:kern w:val="2"/>
                <w:sz w:val="21"/>
                <w:szCs w:val="21"/>
                <w:highlight w:val="none"/>
              </w:rPr>
              <w:t>项目（包括但不限于管道、缆线等）如跨</w:t>
            </w:r>
            <w:r>
              <w:rPr>
                <w:rFonts w:hint="eastAsia" w:ascii="宋体" w:hAnsi="宋体" w:eastAsia="宋体" w:cs="宋体"/>
                <w:color w:val="auto"/>
                <w:kern w:val="2"/>
                <w:sz w:val="21"/>
                <w:szCs w:val="21"/>
                <w:highlight w:val="none"/>
                <w:lang w:val="en-US" w:eastAsia="zh-CN"/>
              </w:rPr>
              <w:t>公路（含高速）</w:t>
            </w:r>
            <w:r>
              <w:rPr>
                <w:rFonts w:hint="eastAsia" w:ascii="宋体" w:hAnsi="宋体" w:eastAsia="宋体" w:cs="宋体"/>
                <w:color w:val="auto"/>
                <w:kern w:val="2"/>
                <w:sz w:val="21"/>
                <w:szCs w:val="21"/>
                <w:highlight w:val="none"/>
              </w:rPr>
              <w:t>、穿</w:t>
            </w:r>
            <w:r>
              <w:rPr>
                <w:rFonts w:hint="eastAsia" w:ascii="宋体" w:hAnsi="宋体" w:eastAsia="宋体" w:cs="宋体"/>
                <w:color w:val="auto"/>
                <w:kern w:val="2"/>
                <w:sz w:val="21"/>
                <w:szCs w:val="21"/>
                <w:highlight w:val="none"/>
                <w:lang w:val="en-US" w:eastAsia="zh-CN"/>
              </w:rPr>
              <w:t>公路（含高速）</w:t>
            </w:r>
            <w:r>
              <w:rPr>
                <w:rFonts w:hint="eastAsia" w:ascii="宋体" w:hAnsi="宋体" w:eastAsia="宋体" w:cs="宋体"/>
                <w:color w:val="auto"/>
                <w:kern w:val="2"/>
                <w:sz w:val="21"/>
                <w:szCs w:val="21"/>
                <w:highlight w:val="none"/>
              </w:rPr>
              <w:t>、穿</w:t>
            </w:r>
            <w:r>
              <w:rPr>
                <w:rFonts w:hint="eastAsia" w:ascii="宋体" w:hAnsi="宋体" w:eastAsia="宋体" w:cs="宋体"/>
                <w:color w:val="auto"/>
                <w:kern w:val="2"/>
                <w:sz w:val="21"/>
                <w:szCs w:val="21"/>
                <w:highlight w:val="none"/>
                <w:lang w:val="en-US" w:eastAsia="zh-CN"/>
              </w:rPr>
              <w:t>高压线路</w:t>
            </w:r>
            <w:r>
              <w:rPr>
                <w:rFonts w:hint="eastAsia" w:ascii="宋体" w:hAnsi="宋体" w:eastAsia="宋体" w:cs="宋体"/>
                <w:color w:val="auto"/>
                <w:kern w:val="2"/>
                <w:sz w:val="21"/>
                <w:szCs w:val="21"/>
                <w:highlight w:val="none"/>
              </w:rPr>
              <w:t>、</w:t>
            </w:r>
            <w:r>
              <w:rPr>
                <w:rFonts w:hint="eastAsia" w:ascii="宋体" w:hAnsi="宋体" w:eastAsia="宋体" w:cs="宋体"/>
                <w:color w:val="auto"/>
                <w:kern w:val="2"/>
                <w:sz w:val="21"/>
                <w:szCs w:val="21"/>
                <w:highlight w:val="none"/>
                <w:lang w:val="en-US" w:eastAsia="zh-CN"/>
              </w:rPr>
              <w:t>穿越高压线路的</w:t>
            </w:r>
            <w:r>
              <w:rPr>
                <w:rFonts w:hint="eastAsia" w:ascii="宋体" w:hAnsi="宋体" w:eastAsia="宋体" w:cs="宋体"/>
                <w:color w:val="auto"/>
                <w:kern w:val="2"/>
                <w:sz w:val="21"/>
                <w:szCs w:val="21"/>
                <w:highlight w:val="none"/>
                <w:lang w:eastAsia="zh-CN"/>
              </w:rPr>
              <w:t>、</w:t>
            </w:r>
            <w:r>
              <w:rPr>
                <w:rFonts w:hint="eastAsia" w:ascii="宋体" w:hAnsi="宋体" w:eastAsia="宋体" w:cs="宋体"/>
                <w:color w:val="auto"/>
                <w:sz w:val="21"/>
                <w:szCs w:val="21"/>
                <w:highlight w:val="none"/>
              </w:rPr>
              <w:t>光伏区</w:t>
            </w:r>
            <w:r>
              <w:rPr>
                <w:rFonts w:hint="eastAsia" w:ascii="宋体" w:hAnsi="宋体" w:eastAsia="宋体" w:cs="宋体"/>
                <w:color w:val="auto"/>
                <w:sz w:val="21"/>
                <w:szCs w:val="21"/>
                <w:highlight w:val="none"/>
                <w:lang w:val="en-US" w:eastAsia="zh-CN"/>
              </w:rPr>
              <w:t>坟墓迁移等</w:t>
            </w:r>
            <w:r>
              <w:rPr>
                <w:rFonts w:hint="eastAsia" w:ascii="宋体" w:hAnsi="宋体" w:eastAsia="宋体" w:cs="宋体"/>
                <w:color w:val="auto"/>
                <w:kern w:val="2"/>
                <w:sz w:val="21"/>
                <w:szCs w:val="21"/>
                <w:highlight w:val="none"/>
              </w:rPr>
              <w:t>承包人应严格按照相关法律法规要求办理审批手续并承担相关费用。</w:t>
            </w:r>
          </w:p>
          <w:p w14:paraId="6957D4FB">
            <w:pPr>
              <w:pStyle w:val="3"/>
              <w:spacing w:after="0" w:line="240" w:lineRule="auto"/>
              <w:rPr>
                <w:rFonts w:hint="eastAsia" w:ascii="宋体" w:hAnsi="宋体" w:eastAsia="宋体" w:cs="宋体"/>
                <w:color w:val="auto"/>
                <w:highlight w:val="none"/>
              </w:rPr>
            </w:pPr>
          </w:p>
        </w:tc>
      </w:tr>
      <w:tr w14:paraId="4466B065">
        <w:trPr>
          <w:trHeight w:val="20" w:hRule="atLeast"/>
          <w:jc w:val="center"/>
        </w:trPr>
        <w:tc>
          <w:tcPr>
            <w:tcW w:w="1165" w:type="dxa"/>
            <w:noWrap w:val="0"/>
            <w:vAlign w:val="center"/>
          </w:tcPr>
          <w:p w14:paraId="0F7C0A33">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3.3.1</w:t>
            </w:r>
          </w:p>
        </w:tc>
        <w:tc>
          <w:tcPr>
            <w:tcW w:w="2766" w:type="dxa"/>
            <w:noWrap w:val="0"/>
            <w:vAlign w:val="center"/>
          </w:tcPr>
          <w:p w14:paraId="56918D9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投标有效期</w:t>
            </w:r>
          </w:p>
        </w:tc>
        <w:tc>
          <w:tcPr>
            <w:tcW w:w="5433" w:type="dxa"/>
            <w:noWrap w:val="0"/>
            <w:vAlign w:val="center"/>
          </w:tcPr>
          <w:p w14:paraId="0157A6B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180日历天</w:t>
            </w:r>
          </w:p>
        </w:tc>
      </w:tr>
      <w:tr w14:paraId="5DC95D1B">
        <w:trPr>
          <w:trHeight w:val="20" w:hRule="atLeast"/>
          <w:jc w:val="center"/>
        </w:trPr>
        <w:tc>
          <w:tcPr>
            <w:tcW w:w="1165" w:type="dxa"/>
            <w:noWrap w:val="0"/>
            <w:vAlign w:val="center"/>
          </w:tcPr>
          <w:p w14:paraId="2770BDD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3.4.1</w:t>
            </w:r>
          </w:p>
        </w:tc>
        <w:tc>
          <w:tcPr>
            <w:tcW w:w="2766" w:type="dxa"/>
            <w:noWrap w:val="0"/>
            <w:vAlign w:val="center"/>
          </w:tcPr>
          <w:p w14:paraId="2FDB745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投标保证金</w:t>
            </w:r>
          </w:p>
        </w:tc>
        <w:tc>
          <w:tcPr>
            <w:tcW w:w="5433" w:type="dxa"/>
            <w:noWrap w:val="0"/>
            <w:vAlign w:val="center"/>
          </w:tcPr>
          <w:p w14:paraId="3A444FF3">
            <w:pPr>
              <w:widowControl/>
              <w:wordWrap/>
              <w:snapToGrid/>
              <w:spacing w:line="360" w:lineRule="auto"/>
              <w:rPr>
                <w:rFonts w:hint="eastAsia"/>
                <w:color w:val="auto"/>
                <w:highlight w:val="none"/>
                <w:lang w:bidi="ar"/>
              </w:rPr>
            </w:pPr>
            <w:r>
              <w:rPr>
                <w:rFonts w:hint="eastAsia"/>
                <w:color w:val="auto"/>
                <w:highlight w:val="none"/>
                <w:lang w:bidi="ar"/>
              </w:rPr>
              <w:t>（1）投标保证金的金额：以招标公告规定的金额为准。</w:t>
            </w:r>
          </w:p>
          <w:p w14:paraId="0FC2902B">
            <w:pPr>
              <w:widowControl/>
              <w:wordWrap/>
              <w:snapToGrid/>
              <w:spacing w:line="360" w:lineRule="auto"/>
              <w:rPr>
                <w:rFonts w:hint="eastAsia"/>
                <w:color w:val="auto"/>
                <w:highlight w:val="none"/>
                <w:lang w:bidi="ar"/>
              </w:rPr>
            </w:pPr>
            <w:r>
              <w:rPr>
                <w:rFonts w:hint="eastAsia"/>
                <w:color w:val="auto"/>
                <w:highlight w:val="none"/>
                <w:lang w:bidi="ar"/>
              </w:rPr>
              <w:t>（2）投标保证金的形式：银行转账或电汇。</w:t>
            </w:r>
          </w:p>
          <w:p w14:paraId="224B7A76">
            <w:pPr>
              <w:widowControl/>
              <w:wordWrap/>
              <w:snapToGrid/>
              <w:spacing w:line="360" w:lineRule="auto"/>
              <w:rPr>
                <w:rFonts w:hint="eastAsia"/>
                <w:color w:val="auto"/>
                <w:highlight w:val="none"/>
                <w:lang w:bidi="ar"/>
              </w:rPr>
            </w:pPr>
            <w:r>
              <w:rPr>
                <w:rFonts w:hint="eastAsia"/>
                <w:color w:val="auto"/>
                <w:highlight w:val="none"/>
                <w:lang w:bidi="ar"/>
              </w:rPr>
              <w:t>（3）投标保证金应从投标人账户转出，投标保证金缴纳单位名称必须与投标人的单位名称一致；投标保证金必须在投标截止时间前到达招标文件指定的投标保证金账户（投标保证金有效期应与投标有效期一致）。</w:t>
            </w:r>
          </w:p>
          <w:p w14:paraId="161F10AD">
            <w:pPr>
              <w:keepNext w:val="0"/>
              <w:keepLines w:val="0"/>
              <w:pageBreakBefore w:val="0"/>
              <w:widowControl/>
              <w:kinsoku/>
              <w:wordWrap w:val="0"/>
              <w:overflowPunct/>
              <w:autoSpaceDE/>
              <w:autoSpaceDN/>
              <w:bidi w:val="0"/>
              <w:adjustRightInd/>
              <w:snapToGrid w:val="0"/>
              <w:spacing w:line="360" w:lineRule="exact"/>
              <w:contextualSpacing/>
              <w:textAlignment w:val="auto"/>
              <w:rPr>
                <w:rFonts w:hint="eastAsia" w:ascii="Times New Roman" w:hAnsi="Times New Roman" w:cs="Times New Roman"/>
                <w:b/>
                <w:bCs/>
                <w:color w:val="auto"/>
                <w:szCs w:val="24"/>
                <w:highlight w:val="none"/>
                <w:lang w:bidi="ar"/>
              </w:rPr>
            </w:pPr>
            <w:r>
              <w:rPr>
                <w:rFonts w:hint="eastAsia" w:ascii="Times New Roman" w:hAnsi="Times New Roman" w:cs="Times New Roman"/>
                <w:b/>
                <w:bCs/>
                <w:color w:val="auto"/>
                <w:szCs w:val="24"/>
                <w:highlight w:val="none"/>
                <w:lang w:bidi="ar"/>
              </w:rPr>
              <w:t>（4）账户详细信息：</w:t>
            </w:r>
          </w:p>
          <w:p w14:paraId="6E2BDFB0">
            <w:pPr>
              <w:keepNext w:val="0"/>
              <w:keepLines w:val="0"/>
              <w:pageBreakBefore w:val="0"/>
              <w:widowControl/>
              <w:kinsoku/>
              <w:wordWrap w:val="0"/>
              <w:overflowPunct/>
              <w:autoSpaceDE/>
              <w:autoSpaceDN/>
              <w:bidi w:val="0"/>
              <w:adjustRightInd/>
              <w:snapToGrid w:val="0"/>
              <w:spacing w:line="360" w:lineRule="exact"/>
              <w:contextualSpacing/>
              <w:textAlignment w:val="auto"/>
              <w:rPr>
                <w:rFonts w:hint="eastAsia" w:ascii="Times New Roman" w:hAnsi="Times New Roman" w:cs="Times New Roman"/>
                <w:b/>
                <w:bCs/>
                <w:color w:val="auto"/>
                <w:szCs w:val="24"/>
                <w:highlight w:val="none"/>
                <w:lang w:bidi="ar"/>
              </w:rPr>
            </w:pPr>
            <w:r>
              <w:rPr>
                <w:rFonts w:hint="eastAsia" w:ascii="Times New Roman" w:hAnsi="Times New Roman" w:cs="Times New Roman"/>
                <w:b/>
                <w:bCs/>
                <w:color w:val="auto"/>
                <w:szCs w:val="24"/>
                <w:highlight w:val="none"/>
                <w:lang w:bidi="ar"/>
              </w:rPr>
              <w:t>①保证金收款账户名称：详见招标公告。</w:t>
            </w:r>
          </w:p>
          <w:p w14:paraId="59EB4D7F">
            <w:pPr>
              <w:keepNext w:val="0"/>
              <w:keepLines w:val="0"/>
              <w:pageBreakBefore w:val="0"/>
              <w:widowControl/>
              <w:kinsoku/>
              <w:wordWrap w:val="0"/>
              <w:overflowPunct/>
              <w:autoSpaceDE/>
              <w:autoSpaceDN/>
              <w:bidi w:val="0"/>
              <w:adjustRightInd/>
              <w:snapToGrid w:val="0"/>
              <w:spacing w:line="360" w:lineRule="exact"/>
              <w:contextualSpacing/>
              <w:textAlignment w:val="auto"/>
              <w:rPr>
                <w:rFonts w:hint="eastAsia" w:ascii="Times New Roman" w:hAnsi="Times New Roman" w:cs="Times New Roman"/>
                <w:b/>
                <w:bCs/>
                <w:color w:val="auto"/>
                <w:szCs w:val="24"/>
                <w:highlight w:val="none"/>
                <w:lang w:bidi="ar"/>
              </w:rPr>
            </w:pPr>
            <w:r>
              <w:rPr>
                <w:rFonts w:hint="eastAsia" w:ascii="Times New Roman" w:hAnsi="Times New Roman" w:cs="Times New Roman"/>
                <w:b/>
                <w:bCs/>
                <w:color w:val="auto"/>
                <w:szCs w:val="24"/>
                <w:highlight w:val="none"/>
                <w:lang w:bidi="ar"/>
              </w:rPr>
              <w:t>②保证金开户银行：详见招标公告。</w:t>
            </w:r>
          </w:p>
          <w:p w14:paraId="27975E69">
            <w:pPr>
              <w:keepNext w:val="0"/>
              <w:keepLines w:val="0"/>
              <w:pageBreakBefore w:val="0"/>
              <w:widowControl/>
              <w:kinsoku/>
              <w:wordWrap w:val="0"/>
              <w:overflowPunct/>
              <w:autoSpaceDE/>
              <w:autoSpaceDN/>
              <w:bidi w:val="0"/>
              <w:adjustRightInd/>
              <w:snapToGrid w:val="0"/>
              <w:spacing w:line="360" w:lineRule="exact"/>
              <w:contextualSpacing/>
              <w:textAlignment w:val="auto"/>
              <w:rPr>
                <w:rFonts w:hint="eastAsia" w:ascii="Times New Roman" w:hAnsi="Times New Roman" w:cs="Times New Roman"/>
                <w:b/>
                <w:bCs/>
                <w:color w:val="auto"/>
                <w:szCs w:val="24"/>
                <w:highlight w:val="none"/>
                <w:lang w:bidi="ar"/>
              </w:rPr>
            </w:pPr>
            <w:r>
              <w:rPr>
                <w:rFonts w:hint="eastAsia" w:ascii="Times New Roman" w:hAnsi="Times New Roman" w:cs="Times New Roman"/>
                <w:b/>
                <w:bCs/>
                <w:color w:val="auto"/>
                <w:szCs w:val="24"/>
                <w:highlight w:val="none"/>
                <w:lang w:bidi="ar"/>
              </w:rPr>
              <w:t>③保证金账号：详见招标公告。</w:t>
            </w:r>
          </w:p>
          <w:p w14:paraId="4722DCA5">
            <w:pPr>
              <w:widowControl/>
              <w:wordWrap/>
              <w:snapToGrid/>
              <w:spacing w:line="360" w:lineRule="auto"/>
              <w:rPr>
                <w:rFonts w:hint="eastAsia"/>
                <w:color w:val="auto"/>
                <w:highlight w:val="none"/>
                <w:lang w:bidi="ar"/>
              </w:rPr>
            </w:pPr>
            <w:r>
              <w:rPr>
                <w:rFonts w:hint="eastAsia"/>
                <w:color w:val="auto"/>
                <w:highlight w:val="none"/>
                <w:lang w:bidi="ar"/>
              </w:rPr>
              <w:t>（5）为保证在投标截止时间前投标保证金能够及时到账，并确保电子投标文件在投标截止时间前顺利上传，投标人应充分考虑汇款及到账所需时间以及发现问题后采取补救措施所需时间，以确保投标保证金在投标截止时间前到账。</w:t>
            </w:r>
          </w:p>
          <w:p w14:paraId="797A310F">
            <w:pPr>
              <w:keepLines/>
              <w:wordWrap w:val="0"/>
              <w:topLinePunct/>
              <w:contextualSpacing/>
              <w:rPr>
                <w:rFonts w:hint="eastAsia"/>
                <w:color w:val="auto"/>
                <w:highlight w:val="none"/>
                <w:lang w:bidi="ar"/>
              </w:rPr>
            </w:pPr>
            <w:r>
              <w:rPr>
                <w:rFonts w:hint="eastAsia"/>
                <w:color w:val="auto"/>
                <w:highlight w:val="none"/>
                <w:lang w:bidi="ar"/>
              </w:rPr>
              <w:t>（6）汇款单上须注明“******项目投标保证金”（建议不要超过15个字），否则，因款项用途不明导致投标无效等后果由投标人自行承担。</w:t>
            </w:r>
          </w:p>
          <w:p w14:paraId="3DE5AB98">
            <w:pPr>
              <w:pStyle w:val="3"/>
              <w:spacing w:after="0"/>
              <w:jc w:val="left"/>
              <w:rPr>
                <w:rFonts w:hint="eastAsia" w:ascii="宋体" w:hAnsi="宋体" w:eastAsia="宋体" w:cs="宋体"/>
                <w:color w:val="auto"/>
                <w:kern w:val="0"/>
                <w:szCs w:val="21"/>
                <w:highlight w:val="none"/>
              </w:rPr>
            </w:pPr>
            <w:r>
              <w:rPr>
                <w:rFonts w:hint="eastAsia" w:ascii="宋体" w:hAnsi="宋体" w:eastAsia="宋体" w:cs="宋体"/>
                <w:b/>
                <w:bCs/>
                <w:color w:val="auto"/>
                <w:szCs w:val="21"/>
                <w:highlight w:val="none"/>
              </w:rPr>
              <w:t>（</w:t>
            </w:r>
            <w:r>
              <w:rPr>
                <w:rFonts w:hint="eastAsia" w:ascii="宋体" w:hAnsi="宋体" w:eastAsia="宋体" w:cs="宋体"/>
                <w:b/>
                <w:bCs/>
                <w:color w:val="auto"/>
                <w:szCs w:val="21"/>
                <w:highlight w:val="none"/>
                <w:lang w:val="en-US" w:eastAsia="zh-CN"/>
              </w:rPr>
              <w:t>7</w:t>
            </w:r>
            <w:r>
              <w:rPr>
                <w:rFonts w:hint="eastAsia" w:ascii="宋体" w:hAnsi="宋体" w:eastAsia="宋体" w:cs="宋体"/>
                <w:b/>
                <w:bCs/>
                <w:color w:val="auto"/>
                <w:kern w:val="0"/>
                <w:szCs w:val="21"/>
                <w:highlight w:val="none"/>
              </w:rPr>
              <w:t>）如为联合体投标，投标保证金由联合体牵头人递交。</w:t>
            </w:r>
          </w:p>
        </w:tc>
      </w:tr>
      <w:tr w14:paraId="38AFFDD9">
        <w:trPr>
          <w:trHeight w:val="20" w:hRule="atLeast"/>
          <w:jc w:val="center"/>
        </w:trPr>
        <w:tc>
          <w:tcPr>
            <w:tcW w:w="1165" w:type="dxa"/>
            <w:noWrap w:val="0"/>
            <w:vAlign w:val="center"/>
          </w:tcPr>
          <w:p w14:paraId="6301125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3.5.2</w:t>
            </w:r>
          </w:p>
        </w:tc>
        <w:tc>
          <w:tcPr>
            <w:tcW w:w="2766" w:type="dxa"/>
            <w:noWrap w:val="0"/>
            <w:vAlign w:val="center"/>
          </w:tcPr>
          <w:p w14:paraId="36701779">
            <w:pPr>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近年财务状况</w:t>
            </w:r>
          </w:p>
        </w:tc>
        <w:tc>
          <w:tcPr>
            <w:tcW w:w="5433" w:type="dxa"/>
            <w:noWrap w:val="0"/>
            <w:vAlign w:val="center"/>
          </w:tcPr>
          <w:p w14:paraId="121985BF">
            <w:pPr>
              <w:jc w:val="left"/>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同招标文件第一章招标公告“</w:t>
            </w:r>
            <w:r>
              <w:rPr>
                <w:rFonts w:hint="eastAsia" w:ascii="宋体" w:hAnsi="宋体" w:eastAsia="宋体" w:cs="宋体"/>
                <w:b/>
                <w:bCs/>
                <w:color w:val="auto"/>
                <w:kern w:val="0"/>
                <w:szCs w:val="21"/>
                <w:highlight w:val="none"/>
              </w:rPr>
              <w:t>十、对投标人的资格要求</w:t>
            </w:r>
            <w:r>
              <w:rPr>
                <w:rFonts w:hint="eastAsia" w:ascii="宋体" w:hAnsi="宋体" w:eastAsia="宋体" w:cs="宋体"/>
                <w:b/>
                <w:bCs/>
                <w:color w:val="auto"/>
                <w:szCs w:val="21"/>
                <w:highlight w:val="none"/>
              </w:rPr>
              <w:t>”中“财务要求”</w:t>
            </w:r>
          </w:p>
        </w:tc>
      </w:tr>
      <w:tr w14:paraId="4AAE51F0">
        <w:trPr>
          <w:trHeight w:val="20" w:hRule="atLeast"/>
          <w:jc w:val="center"/>
        </w:trPr>
        <w:tc>
          <w:tcPr>
            <w:tcW w:w="1165" w:type="dxa"/>
            <w:noWrap w:val="0"/>
            <w:vAlign w:val="center"/>
          </w:tcPr>
          <w:p w14:paraId="15AB4A3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3.5.3</w:t>
            </w:r>
          </w:p>
        </w:tc>
        <w:tc>
          <w:tcPr>
            <w:tcW w:w="2766" w:type="dxa"/>
            <w:noWrap w:val="0"/>
            <w:vAlign w:val="center"/>
          </w:tcPr>
          <w:p w14:paraId="08CB4DF8">
            <w:pPr>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完成的类似项目</w:t>
            </w:r>
          </w:p>
        </w:tc>
        <w:tc>
          <w:tcPr>
            <w:tcW w:w="5433" w:type="dxa"/>
            <w:noWrap w:val="0"/>
            <w:vAlign w:val="center"/>
          </w:tcPr>
          <w:p w14:paraId="4A2BAA0A">
            <w:pPr>
              <w:jc w:val="left"/>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同招标文件第一章招标公告“</w:t>
            </w:r>
            <w:r>
              <w:rPr>
                <w:rFonts w:hint="eastAsia" w:ascii="宋体" w:hAnsi="宋体" w:eastAsia="宋体" w:cs="宋体"/>
                <w:b/>
                <w:bCs/>
                <w:color w:val="auto"/>
                <w:kern w:val="0"/>
                <w:szCs w:val="21"/>
                <w:highlight w:val="none"/>
              </w:rPr>
              <w:t>十、对投标人的资格要求</w:t>
            </w:r>
            <w:r>
              <w:rPr>
                <w:rFonts w:hint="eastAsia" w:ascii="宋体" w:hAnsi="宋体" w:eastAsia="宋体" w:cs="宋体"/>
                <w:b/>
                <w:bCs/>
                <w:color w:val="auto"/>
                <w:szCs w:val="21"/>
                <w:highlight w:val="none"/>
              </w:rPr>
              <w:t>”中“业绩要求”</w:t>
            </w:r>
          </w:p>
        </w:tc>
      </w:tr>
      <w:tr w14:paraId="2125F9F6">
        <w:trPr>
          <w:trHeight w:val="20" w:hRule="atLeast"/>
          <w:jc w:val="center"/>
        </w:trPr>
        <w:tc>
          <w:tcPr>
            <w:tcW w:w="1165" w:type="dxa"/>
            <w:noWrap w:val="0"/>
            <w:vAlign w:val="center"/>
          </w:tcPr>
          <w:p w14:paraId="425F972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3.6</w:t>
            </w:r>
          </w:p>
        </w:tc>
        <w:tc>
          <w:tcPr>
            <w:tcW w:w="2766" w:type="dxa"/>
            <w:noWrap w:val="0"/>
            <w:vAlign w:val="center"/>
          </w:tcPr>
          <w:p w14:paraId="77140FC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是否允许递交备选投标方案</w:t>
            </w:r>
          </w:p>
        </w:tc>
        <w:tc>
          <w:tcPr>
            <w:tcW w:w="5433" w:type="dxa"/>
            <w:noWrap w:val="0"/>
            <w:vAlign w:val="center"/>
          </w:tcPr>
          <w:p w14:paraId="0E560D3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不允许</w:t>
            </w:r>
          </w:p>
        </w:tc>
      </w:tr>
      <w:tr w14:paraId="3A5346C5">
        <w:trPr>
          <w:trHeight w:val="20" w:hRule="atLeast"/>
          <w:jc w:val="center"/>
        </w:trPr>
        <w:tc>
          <w:tcPr>
            <w:tcW w:w="1165" w:type="dxa"/>
            <w:noWrap w:val="0"/>
            <w:vAlign w:val="center"/>
          </w:tcPr>
          <w:p w14:paraId="1A1CDC6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3.7.3</w:t>
            </w:r>
          </w:p>
        </w:tc>
        <w:tc>
          <w:tcPr>
            <w:tcW w:w="2766" w:type="dxa"/>
            <w:noWrap w:val="0"/>
            <w:vAlign w:val="center"/>
          </w:tcPr>
          <w:p w14:paraId="0B9E5CF3">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签字或盖章要求</w:t>
            </w:r>
          </w:p>
        </w:tc>
        <w:tc>
          <w:tcPr>
            <w:tcW w:w="5433" w:type="dxa"/>
            <w:noWrap w:val="0"/>
            <w:vAlign w:val="center"/>
          </w:tcPr>
          <w:p w14:paraId="6AEA1DF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yellow"/>
              </w:rPr>
              <w:t>符合招标文件“第七章  投标文件格式”签字盖章要</w:t>
            </w:r>
            <w:r>
              <w:rPr>
                <w:rFonts w:hint="eastAsia" w:ascii="宋体" w:hAnsi="宋体" w:eastAsia="宋体" w:cs="宋体"/>
                <w:color w:val="auto"/>
                <w:szCs w:val="21"/>
                <w:highlight w:val="none"/>
              </w:rPr>
              <w:t>求</w:t>
            </w:r>
          </w:p>
        </w:tc>
      </w:tr>
      <w:tr w14:paraId="0FE3AF4F">
        <w:trPr>
          <w:trHeight w:val="20" w:hRule="atLeast"/>
          <w:jc w:val="center"/>
        </w:trPr>
        <w:tc>
          <w:tcPr>
            <w:tcW w:w="1165" w:type="dxa"/>
            <w:noWrap w:val="0"/>
            <w:vAlign w:val="center"/>
          </w:tcPr>
          <w:p w14:paraId="6A82690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4.2.2</w:t>
            </w:r>
          </w:p>
        </w:tc>
        <w:tc>
          <w:tcPr>
            <w:tcW w:w="2766" w:type="dxa"/>
            <w:noWrap w:val="0"/>
            <w:vAlign w:val="center"/>
          </w:tcPr>
          <w:p w14:paraId="6088B93E">
            <w:pPr>
              <w:widowControl/>
              <w:wordWrap w:val="0"/>
              <w:contextualSpacing/>
              <w:jc w:val="center"/>
              <w:rPr>
                <w:rFonts w:hint="eastAsia" w:ascii="宋体" w:hAnsi="宋体" w:eastAsia="宋体" w:cs="宋体"/>
                <w:color w:val="auto"/>
                <w:szCs w:val="21"/>
                <w:highlight w:val="none"/>
              </w:rPr>
            </w:pPr>
            <w:r>
              <w:rPr>
                <w:rFonts w:hint="eastAsia" w:ascii="宋体" w:hAnsi="宋体" w:eastAsia="宋体" w:cs="宋体"/>
                <w:color w:val="auto"/>
                <w:kern w:val="0"/>
                <w:szCs w:val="21"/>
                <w:highlight w:val="none"/>
              </w:rPr>
              <w:t>递交投标文件地点</w:t>
            </w:r>
          </w:p>
        </w:tc>
        <w:tc>
          <w:tcPr>
            <w:tcW w:w="5433" w:type="dxa"/>
            <w:noWrap w:val="0"/>
            <w:vAlign w:val="center"/>
          </w:tcPr>
          <w:p w14:paraId="41B5E5EF">
            <w:pPr>
              <w:numPr>
                <w:ilvl w:val="0"/>
                <w:numId w:val="0"/>
              </w:numPr>
              <w:wordWrap w:val="0"/>
              <w:spacing w:line="360" w:lineRule="exact"/>
              <w:contextualSpacing/>
              <w:rPr>
                <w:rFonts w:hint="default" w:ascii="Times New Roman" w:hAnsi="Times New Roman" w:eastAsia="宋体" w:cs="Times New Roman"/>
                <w:color w:val="auto"/>
                <w:szCs w:val="24"/>
                <w:highlight w:val="none"/>
              </w:rPr>
            </w:pPr>
            <w:r>
              <w:rPr>
                <w:rFonts w:hint="default" w:ascii="Times New Roman" w:hAnsi="Times New Roman" w:eastAsia="宋体" w:cs="Times New Roman"/>
                <w:b/>
                <w:bCs/>
                <w:color w:val="auto"/>
                <w:szCs w:val="24"/>
                <w:highlight w:val="none"/>
                <w:lang w:eastAsia="zh-CN"/>
              </w:rPr>
              <w:t>递交投标文件的</w:t>
            </w:r>
            <w:r>
              <w:rPr>
                <w:rFonts w:hint="default" w:ascii="Times New Roman" w:hAnsi="Times New Roman" w:eastAsia="宋体" w:cs="Times New Roman"/>
                <w:b/>
                <w:bCs/>
                <w:color w:val="auto"/>
                <w:kern w:val="2"/>
                <w:highlight w:val="none"/>
                <w:lang w:eastAsia="zh-CN"/>
              </w:rPr>
              <w:t>电子招标投标交易平台</w:t>
            </w:r>
            <w:r>
              <w:rPr>
                <w:rFonts w:hint="default" w:ascii="Times New Roman" w:hAnsi="Times New Roman" w:eastAsia="宋体" w:cs="Times New Roman"/>
                <w:b/>
                <w:bCs/>
                <w:color w:val="auto"/>
                <w:szCs w:val="24"/>
                <w:highlight w:val="none"/>
              </w:rPr>
              <w:t>：</w:t>
            </w:r>
            <w:r>
              <w:rPr>
                <w:rFonts w:hint="default" w:ascii="Times New Roman" w:hAnsi="Times New Roman" w:eastAsia="宋体" w:cs="Times New Roman"/>
                <w:color w:val="auto"/>
                <w:szCs w:val="24"/>
                <w:highlight w:val="none"/>
              </w:rPr>
              <w:t>中国节能环保集团电子采购平台（网址：</w:t>
            </w:r>
            <w:r>
              <w:rPr>
                <w:rFonts w:hint="default" w:ascii="Times New Roman" w:hAnsi="Times New Roman" w:eastAsia="宋体" w:cs="Times New Roman"/>
                <w:color w:val="auto"/>
                <w:szCs w:val="24"/>
                <w:highlight w:val="none"/>
              </w:rPr>
              <w:fldChar w:fldCharType="begin"/>
            </w:r>
            <w:r>
              <w:rPr>
                <w:rFonts w:hint="default" w:ascii="Times New Roman" w:hAnsi="Times New Roman" w:eastAsia="宋体" w:cs="Times New Roman"/>
                <w:color w:val="auto"/>
                <w:szCs w:val="24"/>
                <w:highlight w:val="none"/>
              </w:rPr>
              <w:instrText xml:space="preserve"> HYPERLINK "http://www.ebidding.cecep.cn/TPBidder/），投标人须登陆该平台在投标截止时间前完成所有投标文件的上传。" </w:instrText>
            </w:r>
            <w:r>
              <w:rPr>
                <w:rFonts w:hint="default" w:ascii="Times New Roman" w:hAnsi="Times New Roman" w:eastAsia="宋体" w:cs="Times New Roman"/>
                <w:color w:val="auto"/>
                <w:szCs w:val="24"/>
                <w:highlight w:val="none"/>
              </w:rPr>
              <w:fldChar w:fldCharType="separate"/>
            </w:r>
            <w:r>
              <w:rPr>
                <w:rFonts w:hint="default" w:ascii="Times New Roman" w:hAnsi="Times New Roman" w:eastAsia="宋体" w:cs="Times New Roman"/>
                <w:color w:val="auto"/>
                <w:szCs w:val="24"/>
                <w:highlight w:val="none"/>
              </w:rPr>
              <w:t>www.ebidding.cecep.cn/TPBidder/），投标人须登陆该平台在投标截止时间前完成所有投标文件的上传。</w:t>
            </w:r>
            <w:r>
              <w:rPr>
                <w:rFonts w:hint="default" w:ascii="Times New Roman" w:hAnsi="Times New Roman" w:eastAsia="宋体" w:cs="Times New Roman"/>
                <w:color w:val="auto"/>
                <w:szCs w:val="24"/>
                <w:highlight w:val="none"/>
              </w:rPr>
              <w:fldChar w:fldCharType="end"/>
            </w:r>
          </w:p>
          <w:p w14:paraId="49870142">
            <w:pPr>
              <w:wordWrap w:val="0"/>
              <w:contextualSpacing/>
              <w:rPr>
                <w:rFonts w:hint="eastAsia" w:ascii="宋体" w:hAnsi="宋体" w:eastAsia="宋体" w:cs="宋体"/>
                <w:b/>
                <w:color w:val="auto"/>
                <w:szCs w:val="21"/>
                <w:highlight w:val="none"/>
              </w:rPr>
            </w:pPr>
          </w:p>
        </w:tc>
      </w:tr>
      <w:tr w14:paraId="2C9ED777">
        <w:trPr>
          <w:trHeight w:val="20" w:hRule="atLeast"/>
          <w:jc w:val="center"/>
        </w:trPr>
        <w:tc>
          <w:tcPr>
            <w:tcW w:w="1165" w:type="dxa"/>
            <w:noWrap w:val="0"/>
            <w:vAlign w:val="center"/>
          </w:tcPr>
          <w:p w14:paraId="6EC721B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4.2.3</w:t>
            </w:r>
          </w:p>
        </w:tc>
        <w:tc>
          <w:tcPr>
            <w:tcW w:w="2766" w:type="dxa"/>
            <w:noWrap w:val="0"/>
            <w:vAlign w:val="center"/>
          </w:tcPr>
          <w:p w14:paraId="55E8F5C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是否退还投标文件</w:t>
            </w:r>
          </w:p>
        </w:tc>
        <w:tc>
          <w:tcPr>
            <w:tcW w:w="5433" w:type="dxa"/>
            <w:noWrap w:val="0"/>
            <w:vAlign w:val="center"/>
          </w:tcPr>
          <w:p w14:paraId="774705D3">
            <w:pPr>
              <w:widowControl/>
              <w:wordWrap w:val="0"/>
              <w:contextualSpacing/>
              <w:rPr>
                <w:rFonts w:hint="eastAsia" w:ascii="宋体" w:hAnsi="宋体" w:eastAsia="宋体" w:cs="宋体"/>
                <w:color w:val="auto"/>
                <w:kern w:val="0"/>
                <w:szCs w:val="21"/>
                <w:highlight w:val="none"/>
              </w:rPr>
            </w:pPr>
            <w:r>
              <w:rPr>
                <w:rFonts w:hint="eastAsia" w:ascii="宋体" w:hAnsi="宋体" w:eastAsia="宋体" w:cs="宋体"/>
                <w:color w:val="auto"/>
                <w:kern w:val="0"/>
                <w:szCs w:val="21"/>
                <w:highlight w:val="none"/>
              </w:rPr>
              <w:t>否，所有投标文件均不退还。</w:t>
            </w:r>
          </w:p>
        </w:tc>
      </w:tr>
      <w:tr w14:paraId="443F4425">
        <w:trPr>
          <w:trHeight w:val="20" w:hRule="atLeast"/>
          <w:jc w:val="center"/>
        </w:trPr>
        <w:tc>
          <w:tcPr>
            <w:tcW w:w="1165" w:type="dxa"/>
            <w:noWrap w:val="0"/>
            <w:vAlign w:val="center"/>
          </w:tcPr>
          <w:p w14:paraId="4290300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5.1</w:t>
            </w:r>
          </w:p>
        </w:tc>
        <w:tc>
          <w:tcPr>
            <w:tcW w:w="2766" w:type="dxa"/>
            <w:noWrap w:val="0"/>
            <w:vAlign w:val="center"/>
          </w:tcPr>
          <w:p w14:paraId="2AA585B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开标时间和地点</w:t>
            </w:r>
          </w:p>
        </w:tc>
        <w:tc>
          <w:tcPr>
            <w:tcW w:w="5433" w:type="dxa"/>
            <w:noWrap w:val="0"/>
            <w:vAlign w:val="center"/>
          </w:tcPr>
          <w:p w14:paraId="231B91ED">
            <w:pPr>
              <w:pStyle w:val="31"/>
              <w:widowControl/>
              <w:shd w:val="clear" w:color="auto" w:fill="FFFFFF"/>
              <w:spacing w:line="240" w:lineRule="auto"/>
              <w:rPr>
                <w:rFonts w:hint="eastAsia" w:ascii="宋体" w:hAnsi="宋体" w:eastAsia="宋体" w:cs="宋体"/>
                <w:color w:val="auto"/>
                <w:sz w:val="21"/>
                <w:szCs w:val="21"/>
                <w:highlight w:val="none"/>
              </w:rPr>
            </w:pPr>
            <w:r>
              <w:rPr>
                <w:rFonts w:hint="eastAsia" w:ascii="宋体" w:hAnsi="宋体" w:eastAsia="宋体" w:cs="宋体"/>
                <w:b/>
                <w:bCs/>
                <w:color w:val="auto"/>
                <w:kern w:val="0"/>
                <w:sz w:val="21"/>
                <w:szCs w:val="21"/>
                <w:highlight w:val="none"/>
              </w:rPr>
              <w:t>同招标文件第一章招标公告“十五、开标时间（暨投标截止时间）及地点”中“（1）开标时间”、“（2）开标地点”。</w:t>
            </w:r>
          </w:p>
        </w:tc>
      </w:tr>
      <w:tr w14:paraId="15D90418">
        <w:trPr>
          <w:trHeight w:val="20" w:hRule="atLeast"/>
          <w:jc w:val="center"/>
        </w:trPr>
        <w:tc>
          <w:tcPr>
            <w:tcW w:w="1165" w:type="dxa"/>
            <w:noWrap w:val="0"/>
            <w:vAlign w:val="center"/>
          </w:tcPr>
          <w:p w14:paraId="4114D42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6.1.1</w:t>
            </w:r>
          </w:p>
        </w:tc>
        <w:tc>
          <w:tcPr>
            <w:tcW w:w="2766" w:type="dxa"/>
            <w:noWrap w:val="0"/>
            <w:vAlign w:val="center"/>
          </w:tcPr>
          <w:p w14:paraId="3C97F05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评标委员会的组建</w:t>
            </w:r>
          </w:p>
        </w:tc>
        <w:tc>
          <w:tcPr>
            <w:tcW w:w="5433" w:type="dxa"/>
            <w:noWrap w:val="0"/>
            <w:vAlign w:val="center"/>
          </w:tcPr>
          <w:p>
            <w:r>
              <w:t>评标委员会构成：7人；</w:t>
              <w:br/>
              <w:t>其中招标人代表2人，专家5人；</w:t>
              <w:br/>
              <w:t>评标专家确定方式：随机抽取。</w:t>
            </w:r>
          </w:p>
        </w:tc>
      </w:tr>
      <w:tr w14:paraId="2C6BA695">
        <w:trPr>
          <w:trHeight w:val="20" w:hRule="atLeast"/>
          <w:jc w:val="center"/>
        </w:trPr>
        <w:tc>
          <w:tcPr>
            <w:tcW w:w="1165" w:type="dxa"/>
            <w:noWrap w:val="0"/>
            <w:vAlign w:val="center"/>
          </w:tcPr>
          <w:p w14:paraId="2CA7F95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7.1</w:t>
            </w:r>
          </w:p>
        </w:tc>
        <w:tc>
          <w:tcPr>
            <w:tcW w:w="2766" w:type="dxa"/>
            <w:noWrap w:val="0"/>
            <w:vAlign w:val="center"/>
          </w:tcPr>
          <w:p w14:paraId="41CCE4F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是否授权评标委员会</w:t>
            </w:r>
          </w:p>
          <w:p w14:paraId="6AC351C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确定中标人</w:t>
            </w:r>
          </w:p>
        </w:tc>
        <w:tc>
          <w:tcPr>
            <w:tcW w:w="5433" w:type="dxa"/>
            <w:noWrap w:val="0"/>
            <w:vAlign w:val="center"/>
          </w:tcPr>
          <w:p w14:paraId="2830E499">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否，推荐的中标候选人数：3名</w:t>
            </w:r>
          </w:p>
        </w:tc>
      </w:tr>
      <w:tr w14:paraId="6FFA3B1A">
        <w:trPr>
          <w:trHeight w:val="20" w:hRule="atLeast"/>
          <w:jc w:val="center"/>
        </w:trPr>
        <w:tc>
          <w:tcPr>
            <w:tcW w:w="1165" w:type="dxa"/>
            <w:noWrap w:val="0"/>
            <w:vAlign w:val="center"/>
          </w:tcPr>
          <w:p w14:paraId="331CFC8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7.2</w:t>
            </w:r>
          </w:p>
        </w:tc>
        <w:tc>
          <w:tcPr>
            <w:tcW w:w="2766" w:type="dxa"/>
            <w:noWrap w:val="0"/>
            <w:vAlign w:val="center"/>
          </w:tcPr>
          <w:p w14:paraId="32409F1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中标候选人公示媒介</w:t>
            </w:r>
          </w:p>
        </w:tc>
        <w:tc>
          <w:tcPr>
            <w:tcW w:w="5433" w:type="dxa"/>
            <w:noWrap w:val="0"/>
            <w:vAlign w:val="center"/>
          </w:tcPr>
          <w:p w14:paraId="34D1C642">
            <w:pPr>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同招标公告发布媒介</w:t>
            </w:r>
          </w:p>
        </w:tc>
      </w:tr>
      <w:tr w14:paraId="067465B7">
        <w:trPr>
          <w:trHeight w:val="20" w:hRule="atLeast"/>
          <w:jc w:val="center"/>
        </w:trPr>
        <w:tc>
          <w:tcPr>
            <w:tcW w:w="1165" w:type="dxa"/>
            <w:noWrap w:val="0"/>
            <w:vAlign w:val="center"/>
          </w:tcPr>
          <w:p w14:paraId="3CBF671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7.3</w:t>
            </w:r>
          </w:p>
        </w:tc>
        <w:tc>
          <w:tcPr>
            <w:tcW w:w="2766" w:type="dxa"/>
            <w:noWrap w:val="0"/>
            <w:vAlign w:val="center"/>
          </w:tcPr>
          <w:p w14:paraId="1AB5006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履约担保</w:t>
            </w:r>
          </w:p>
        </w:tc>
        <w:tc>
          <w:tcPr>
            <w:tcW w:w="5433" w:type="dxa"/>
            <w:noWrap w:val="0"/>
            <w:vAlign w:val="center"/>
          </w:tcPr>
          <w:p w14:paraId="6EEA257B">
            <w:pPr>
              <w:pStyle w:val="3"/>
              <w:spacing w:after="0" w:line="240" w:lineRule="auto"/>
              <w:rPr>
                <w:rFonts w:hint="eastAsia" w:ascii="宋体" w:hAnsi="宋体" w:eastAsia="宋体" w:cs="宋体"/>
                <w:color w:val="auto"/>
                <w:szCs w:val="21"/>
                <w:highlight w:val="none"/>
              </w:rPr>
            </w:pPr>
            <w:r>
              <w:rPr>
                <w:rFonts w:hint="eastAsia" w:ascii="Arial" w:hAnsi="Arial" w:eastAsia="宋体" w:cs="Arial"/>
                <w:color w:val="auto"/>
                <w:szCs w:val="21"/>
                <w:highlight w:val="yellow"/>
              </w:rPr>
              <w:t>按招标文件第四章合同条款及格式规定内容执行</w:t>
            </w:r>
            <w:r>
              <w:rPr>
                <w:rFonts w:hint="eastAsia" w:ascii="Arial" w:hAnsi="Arial" w:eastAsia="宋体" w:cs="Arial"/>
                <w:color w:val="auto"/>
                <w:szCs w:val="21"/>
                <w:highlight w:val="none"/>
              </w:rPr>
              <w:t>。</w:t>
            </w:r>
          </w:p>
        </w:tc>
      </w:tr>
      <w:tr w14:paraId="08F32DAC">
        <w:trPr>
          <w:trHeight w:val="20" w:hRule="atLeast"/>
          <w:jc w:val="center"/>
        </w:trPr>
        <w:tc>
          <w:tcPr>
            <w:tcW w:w="1165" w:type="dxa"/>
            <w:noWrap w:val="0"/>
            <w:vAlign w:val="center"/>
          </w:tcPr>
          <w:p w14:paraId="484AF7EB">
            <w:pPr>
              <w:spacing w:line="240" w:lineRule="auto"/>
              <w:jc w:val="center"/>
              <w:rPr>
                <w:rFonts w:hint="eastAsia" w:ascii="宋体" w:hAnsi="宋体" w:eastAsia="宋体" w:cs="宋体"/>
                <w:color w:val="auto"/>
                <w:szCs w:val="21"/>
                <w:highlight w:val="none"/>
              </w:rPr>
            </w:pPr>
            <w:r>
              <w:rPr>
                <w:rFonts w:hint="eastAsia" w:ascii="宋体" w:hAnsi="宋体" w:eastAsia="宋体" w:cs="宋体"/>
                <w:b/>
                <w:color w:val="auto"/>
                <w:szCs w:val="21"/>
                <w:highlight w:val="none"/>
              </w:rPr>
              <w:t>9</w:t>
            </w:r>
          </w:p>
        </w:tc>
        <w:tc>
          <w:tcPr>
            <w:tcW w:w="2766" w:type="dxa"/>
            <w:noWrap w:val="0"/>
            <w:vAlign w:val="center"/>
          </w:tcPr>
          <w:p w14:paraId="2ED2B91B">
            <w:pPr>
              <w:spacing w:line="240" w:lineRule="auto"/>
              <w:jc w:val="center"/>
              <w:rPr>
                <w:rFonts w:hint="eastAsia" w:ascii="宋体" w:hAnsi="宋体" w:eastAsia="宋体" w:cs="宋体"/>
                <w:color w:val="auto"/>
                <w:szCs w:val="21"/>
                <w:highlight w:val="none"/>
              </w:rPr>
            </w:pPr>
            <w:r>
              <w:rPr>
                <w:rFonts w:hint="eastAsia" w:ascii="宋体" w:hAnsi="宋体" w:eastAsia="宋体" w:cs="宋体"/>
                <w:b/>
                <w:bCs/>
                <w:color w:val="auto"/>
                <w:szCs w:val="21"/>
                <w:highlight w:val="yellow"/>
              </w:rPr>
              <w:t>需要补充的其他内容</w:t>
            </w:r>
          </w:p>
        </w:tc>
        <w:tc>
          <w:tcPr>
            <w:tcW w:w="5433" w:type="dxa"/>
            <w:noWrap w:val="0"/>
            <w:vAlign w:val="center"/>
          </w:tcPr>
          <w:p w14:paraId="753A057B">
            <w:pPr>
              <w:spacing w:line="240" w:lineRule="auto"/>
              <w:jc w:val="left"/>
              <w:rPr>
                <w:rFonts w:hint="eastAsia"/>
                <w:color w:val="auto"/>
                <w:highlight w:val="none"/>
              </w:rPr>
            </w:pPr>
            <w:r>
              <w:rPr>
                <w:rFonts w:hint="eastAsia" w:eastAsia="宋体"/>
                <w:color w:val="auto"/>
                <w:highlight w:val="none"/>
                <w:lang w:val="en-US" w:eastAsia="zh-CN"/>
              </w:rPr>
              <w:t>1、</w:t>
            </w:r>
            <w:r>
              <w:rPr>
                <w:rFonts w:hint="eastAsia"/>
                <w:color w:val="auto"/>
                <w:highlight w:val="none"/>
              </w:rPr>
              <w:t>投标人须知</w:t>
            </w:r>
            <w:r>
              <w:rPr>
                <w:rFonts w:hint="eastAsia"/>
                <w:color w:val="auto"/>
                <w:highlight w:val="none"/>
                <w:lang w:val="en-US" w:eastAsia="zh-CN"/>
              </w:rPr>
              <w:t>规定</w:t>
            </w:r>
            <w:r>
              <w:rPr>
                <w:rFonts w:hint="eastAsia"/>
                <w:color w:val="auto"/>
                <w:highlight w:val="none"/>
              </w:rPr>
              <w:t>内容与投标人须知前附表规定内容不一致的，以投标人须知前附表</w:t>
            </w:r>
            <w:r>
              <w:rPr>
                <w:rFonts w:hint="eastAsia"/>
                <w:color w:val="auto"/>
                <w:highlight w:val="none"/>
                <w:lang w:val="en-US" w:eastAsia="zh-CN"/>
              </w:rPr>
              <w:t>规定内容</w:t>
            </w:r>
            <w:r>
              <w:rPr>
                <w:rFonts w:hint="eastAsia"/>
                <w:color w:val="auto"/>
                <w:highlight w:val="none"/>
              </w:rPr>
              <w:t>为准。</w:t>
            </w:r>
          </w:p>
          <w:p w14:paraId="24271B8B">
            <w:pPr>
              <w:spacing w:line="240" w:lineRule="auto"/>
              <w:jc w:val="left"/>
              <w:rPr>
                <w:rFonts w:hint="eastAsia"/>
                <w:b/>
                <w:bCs/>
                <w:color w:val="auto"/>
                <w:highlight w:val="none"/>
              </w:rPr>
            </w:pPr>
            <w:r>
              <w:rPr>
                <w:rFonts w:hint="eastAsia" w:eastAsia="宋体"/>
                <w:b/>
                <w:bCs/>
                <w:color w:val="auto"/>
                <w:highlight w:val="none"/>
                <w:lang w:val="en-US" w:eastAsia="zh-CN"/>
              </w:rPr>
              <w:t>2、</w:t>
            </w:r>
            <w:r>
              <w:rPr>
                <w:rFonts w:hint="eastAsia"/>
                <w:b/>
                <w:bCs/>
                <w:color w:val="auto"/>
                <w:highlight w:val="none"/>
              </w:rPr>
              <w:t>不论投标的结果如何，投标人自行承担所有与准备和参加投标有关的费用</w:t>
            </w:r>
            <w:r>
              <w:rPr>
                <w:rFonts w:hint="eastAsia"/>
                <w:b/>
                <w:bCs/>
                <w:color w:val="auto"/>
                <w:highlight w:val="none"/>
                <w:lang w:eastAsia="zh-CN"/>
              </w:rPr>
              <w:t>，</w:t>
            </w:r>
            <w:r>
              <w:rPr>
                <w:rFonts w:hint="eastAsia"/>
                <w:b/>
                <w:bCs/>
                <w:color w:val="auto"/>
                <w:highlight w:val="none"/>
              </w:rPr>
              <w:t>并且投标人应按招标文件的要求提供投标文件，并保证提供的全部资料是真实的。</w:t>
            </w:r>
          </w:p>
          <w:p w14:paraId="1FCFE469">
            <w:pPr>
              <w:spacing w:line="240" w:lineRule="auto"/>
              <w:jc w:val="left"/>
              <w:rPr>
                <w:rFonts w:hint="eastAsia"/>
                <w:color w:val="auto"/>
                <w:highlight w:val="none"/>
                <w:lang w:val="en-US" w:eastAsia="zh-CN"/>
              </w:rPr>
            </w:pPr>
            <w:r>
              <w:rPr>
                <w:rFonts w:hint="eastAsia" w:eastAsia="宋体"/>
                <w:color w:val="auto"/>
                <w:highlight w:val="none"/>
                <w:lang w:val="en-US" w:eastAsia="zh-CN"/>
              </w:rPr>
              <w:t>3、</w:t>
            </w:r>
            <w:r>
              <w:rPr>
                <w:rFonts w:hint="eastAsia"/>
                <w:color w:val="auto"/>
                <w:highlight w:val="none"/>
              </w:rPr>
              <w:t>参加</w:t>
            </w:r>
            <w:r>
              <w:rPr>
                <w:rFonts w:hint="eastAsia"/>
                <w:color w:val="auto"/>
                <w:highlight w:val="none"/>
                <w:lang w:val="en-US" w:eastAsia="zh-CN"/>
              </w:rPr>
              <w:t>开标会议</w:t>
            </w:r>
            <w:r>
              <w:rPr>
                <w:rFonts w:hint="eastAsia"/>
                <w:color w:val="auto"/>
                <w:highlight w:val="none"/>
              </w:rPr>
              <w:t>的法定代表人或授权委托代理人须在招标文件规定的投标文件递交截止时间前携带数字证书（CA）及其密码、账号</w:t>
            </w:r>
            <w:r>
              <w:rPr>
                <w:rFonts w:hint="eastAsia"/>
                <w:color w:val="auto"/>
                <w:highlight w:val="none"/>
                <w:lang w:val="en-US" w:eastAsia="zh-CN"/>
              </w:rPr>
              <w:t>及其</w:t>
            </w:r>
            <w:r>
              <w:rPr>
                <w:rFonts w:hint="eastAsia"/>
                <w:color w:val="auto"/>
                <w:highlight w:val="none"/>
              </w:rPr>
              <w:t>密码，按照采购代理机构通知的视频或其他方式远程参加开标会议。</w:t>
            </w:r>
          </w:p>
          <w:p w14:paraId="57134CBA">
            <w:pPr>
              <w:spacing w:line="240" w:lineRule="auto"/>
              <w:jc w:val="left"/>
              <w:rPr>
                <w:rFonts w:hint="eastAsia"/>
                <w:color w:val="auto"/>
                <w:highlight w:val="none"/>
              </w:rPr>
            </w:pPr>
            <w:r>
              <w:rPr>
                <w:rFonts w:hint="eastAsia" w:eastAsia="宋体"/>
                <w:color w:val="auto"/>
                <w:highlight w:val="none"/>
                <w:lang w:val="en-US" w:eastAsia="zh-CN"/>
              </w:rPr>
              <w:t>4、</w:t>
            </w:r>
            <w:r>
              <w:rPr>
                <w:rFonts w:hint="eastAsia"/>
                <w:color w:val="auto"/>
                <w:highlight w:val="none"/>
              </w:rPr>
              <w:t>中标单位与</w:t>
            </w:r>
            <w:r>
              <w:rPr>
                <w:rFonts w:hint="eastAsia"/>
                <w:b/>
                <w:bCs/>
                <w:color w:val="auto"/>
                <w:highlight w:val="none"/>
                <w:u w:val="single"/>
                <w:lang w:eastAsia="zh-CN"/>
              </w:rPr>
              <w:t>中节能达拉特旗太阳能科技有限公司</w:t>
            </w:r>
            <w:r>
              <w:rPr>
                <w:rFonts w:hint="eastAsia"/>
                <w:color w:val="auto"/>
                <w:highlight w:val="none"/>
              </w:rPr>
              <w:t>签订合同。</w:t>
            </w:r>
          </w:p>
          <w:p w14:paraId="5A215608">
            <w:pPr>
              <w:spacing w:line="240" w:lineRule="auto"/>
              <w:jc w:val="left"/>
              <w:rPr>
                <w:rFonts w:hint="default"/>
                <w:color w:val="auto"/>
                <w:highlight w:val="none"/>
              </w:rPr>
            </w:pPr>
            <w:r>
              <w:rPr>
                <w:rFonts w:hint="eastAsia" w:ascii="Times New Roman" w:hAnsi="Times New Roman" w:eastAsia="宋体"/>
                <w:b/>
                <w:bCs/>
                <w:color w:val="auto"/>
                <w:kern w:val="2"/>
                <w:sz w:val="21"/>
                <w:szCs w:val="24"/>
                <w:highlight w:val="none"/>
                <w:lang w:val="en-US" w:eastAsia="zh-CN"/>
              </w:rPr>
              <w:t>5、</w:t>
            </w:r>
            <w:r>
              <w:rPr>
                <w:rFonts w:hint="eastAsia"/>
                <w:b/>
                <w:bCs/>
                <w:color w:val="auto"/>
                <w:highlight w:val="none"/>
              </w:rPr>
              <w:t>本项目招标文件及其附件中列明的、指出的货物品牌及型号，均指或相当于或同等及以上档次的货物品牌及型号的产品。为保障本项目实施的整体性、完整性、合理性及一致性，承包人对其所供货物的采购须经发包人同意后方可实施，如实际供货与发包人同意后的货物不一致的，须按发包人要求无条件、免费进行更换，并承担由此给发包人造成的一切损失。</w:t>
            </w:r>
          </w:p>
          <w:p w14:paraId="22230F20">
            <w:pPr>
              <w:keepNext w:val="0"/>
              <w:keepLines w:val="0"/>
              <w:pageBreakBefore w:val="0"/>
              <w:numPr>
                <w:ilvl w:val="0"/>
                <w:numId w:val="0"/>
              </w:numPr>
              <w:kinsoku/>
              <w:wordWrap/>
              <w:overflowPunct/>
              <w:topLinePunct w:val="0"/>
              <w:autoSpaceDE/>
              <w:autoSpaceDN/>
              <w:bidi w:val="0"/>
              <w:adjustRightInd/>
              <w:snapToGrid/>
              <w:spacing w:line="240" w:lineRule="auto"/>
              <w:ind w:firstLine="0" w:firstLineChars="0"/>
              <w:contextualSpacing/>
              <w:jc w:val="left"/>
              <w:textAlignment w:val="auto"/>
              <w:rPr>
                <w:rFonts w:hint="default" w:ascii="Times New Roman" w:hAnsi="Times New Roman" w:cs="Times New Roman"/>
                <w:b/>
                <w:bCs/>
                <w:color w:val="auto"/>
                <w:highlight w:val="none"/>
              </w:rPr>
            </w:pPr>
            <w:r>
              <w:rPr>
                <w:rFonts w:hint="eastAsia"/>
                <w:b w:val="0"/>
                <w:bCs w:val="0"/>
                <w:color w:val="auto"/>
                <w:highlight w:val="none"/>
                <w:lang w:val="en-US" w:eastAsia="zh-CN"/>
              </w:rPr>
              <w:t>6</w:t>
            </w:r>
            <w:r>
              <w:rPr>
                <w:rFonts w:hint="eastAsia"/>
                <w:b w:val="0"/>
                <w:bCs w:val="0"/>
                <w:color w:val="auto"/>
                <w:highlight w:val="none"/>
              </w:rPr>
              <w:t>、</w:t>
            </w:r>
            <w:r>
              <w:rPr>
                <w:rFonts w:ascii="Times New Roman" w:hAnsi="Times New Roman" w:cs="Times New Roman"/>
                <w:b/>
                <w:bCs/>
                <w:color w:val="auto"/>
                <w:highlight w:val="none"/>
              </w:rPr>
              <w:t>招标代理服务费</w:t>
            </w:r>
            <w:r>
              <w:rPr>
                <w:rFonts w:hint="default" w:ascii="Times New Roman" w:hAnsi="Times New Roman" w:cs="Times New Roman"/>
                <w:b/>
                <w:bCs/>
                <w:color w:val="auto"/>
                <w:highlight w:val="none"/>
                <w:lang w:eastAsia="zh-CN"/>
              </w:rPr>
              <w:t>：</w:t>
            </w:r>
          </w:p>
          <w:p w14:paraId="0175DDE1">
            <w:pPr>
              <w:keepNext w:val="0"/>
              <w:keepLines w:val="0"/>
              <w:pageBreakBefore w:val="0"/>
              <w:numPr>
                <w:ilvl w:val="0"/>
                <w:numId w:val="0"/>
              </w:numPr>
              <w:kinsoku/>
              <w:wordWrap/>
              <w:overflowPunct/>
              <w:topLinePunct w:val="0"/>
              <w:autoSpaceDE/>
              <w:autoSpaceDN/>
              <w:bidi w:val="0"/>
              <w:adjustRightInd/>
              <w:snapToGrid/>
              <w:spacing w:line="240" w:lineRule="auto"/>
              <w:ind w:firstLine="0" w:firstLineChars="0"/>
              <w:contextualSpacing/>
              <w:jc w:val="left"/>
              <w:textAlignment w:val="auto"/>
              <w:rPr>
                <w:rFonts w:hint="eastAsia" w:ascii="宋体" w:hAnsi="宋体" w:eastAsia="宋体" w:cs="宋体"/>
                <w:b/>
                <w:bCs/>
                <w:color w:val="auto"/>
                <w:sz w:val="21"/>
                <w:szCs w:val="21"/>
                <w:highlight w:val="none"/>
              </w:rPr>
            </w:pPr>
            <w:r>
              <w:rPr>
                <w:rFonts w:hint="eastAsia" w:ascii="宋体" w:hAnsi="宋体" w:cs="宋体"/>
                <w:b/>
                <w:bCs/>
                <w:color w:val="auto"/>
                <w:sz w:val="21"/>
                <w:szCs w:val="21"/>
                <w:highlight w:val="none"/>
                <w:lang w:eastAsia="zh-CN"/>
              </w:rPr>
              <w:t>（</w:t>
            </w:r>
            <w:r>
              <w:rPr>
                <w:rFonts w:hint="eastAsia" w:ascii="宋体" w:hAnsi="宋体" w:cs="宋体"/>
                <w:b/>
                <w:bCs/>
                <w:color w:val="auto"/>
                <w:sz w:val="21"/>
                <w:szCs w:val="21"/>
                <w:highlight w:val="none"/>
                <w:lang w:val="en-US" w:eastAsia="zh-CN"/>
              </w:rPr>
              <w:t>1</w:t>
            </w:r>
            <w:r>
              <w:rPr>
                <w:rFonts w:hint="eastAsia" w:ascii="宋体" w:hAnsi="宋体" w:cs="宋体"/>
                <w:b/>
                <w:bCs/>
                <w:color w:val="auto"/>
                <w:sz w:val="21"/>
                <w:szCs w:val="21"/>
                <w:highlight w:val="none"/>
                <w:lang w:eastAsia="zh-CN"/>
              </w:rPr>
              <w:t>）代理费支付标准：</w:t>
            </w:r>
            <w:r>
              <w:rPr>
                <w:rFonts w:hint="eastAsia" w:ascii="宋体" w:hAnsi="宋体" w:eastAsia="宋体" w:cs="宋体"/>
                <w:b/>
                <w:bCs/>
                <w:color w:val="auto"/>
                <w:sz w:val="21"/>
                <w:szCs w:val="21"/>
                <w:highlight w:val="none"/>
              </w:rPr>
              <w:t>本项目招标代理服务费</w:t>
            </w:r>
            <w:r>
              <w:rPr>
                <w:rFonts w:hint="eastAsia" w:ascii="宋体" w:hAnsi="宋体" w:eastAsia="宋体" w:cs="宋体"/>
                <w:b/>
                <w:bCs/>
                <w:color w:val="auto"/>
                <w:sz w:val="21"/>
                <w:szCs w:val="21"/>
                <w:highlight w:val="none"/>
                <w:lang w:eastAsia="zh-CN"/>
              </w:rPr>
              <w:t>按照</w:t>
            </w:r>
            <w:r>
              <w:rPr>
                <w:rFonts w:hint="eastAsia" w:ascii="宋体" w:hAnsi="宋体" w:eastAsia="宋体" w:cs="宋体"/>
                <w:b/>
                <w:bCs/>
                <w:color w:val="auto"/>
                <w:sz w:val="21"/>
                <w:szCs w:val="21"/>
                <w:highlight w:val="none"/>
              </w:rPr>
              <w:t>《招标代理服务收费管理暂行办法》（计价格[2002]1980号）按照“</w:t>
            </w:r>
            <w:r>
              <w:rPr>
                <w:rFonts w:hint="eastAsia" w:ascii="宋体" w:hAnsi="宋体" w:eastAsia="宋体" w:cs="宋体"/>
                <w:b/>
                <w:bCs/>
                <w:color w:val="auto"/>
                <w:sz w:val="21"/>
                <w:szCs w:val="21"/>
                <w:highlight w:val="none"/>
                <w:lang w:val="en-US" w:eastAsia="zh-CN"/>
              </w:rPr>
              <w:t>工程</w:t>
            </w:r>
            <w:r>
              <w:rPr>
                <w:rFonts w:hint="eastAsia" w:ascii="宋体" w:hAnsi="宋体" w:eastAsia="宋体" w:cs="宋体"/>
                <w:b/>
                <w:bCs/>
                <w:color w:val="auto"/>
                <w:sz w:val="21"/>
                <w:szCs w:val="21"/>
                <w:highlight w:val="none"/>
              </w:rPr>
              <w:t>招标”标准计算，按照上述标准计算的招标代理服务费低于人民币2万元时，按人民币2万元执行，本项目采购代理费由</w:t>
            </w:r>
            <w:r>
              <w:rPr>
                <w:rFonts w:hint="eastAsia" w:ascii="宋体" w:hAnsi="宋体" w:cs="宋体"/>
                <w:b/>
                <w:bCs/>
                <w:color w:val="auto"/>
                <w:sz w:val="21"/>
                <w:szCs w:val="21"/>
                <w:highlight w:val="none"/>
                <w:lang w:val="en-US" w:eastAsia="zh-CN"/>
              </w:rPr>
              <w:t>中标人</w:t>
            </w:r>
            <w:r>
              <w:rPr>
                <w:rFonts w:hint="eastAsia" w:ascii="宋体" w:hAnsi="宋体" w:eastAsia="宋体" w:cs="宋体"/>
                <w:b/>
                <w:bCs/>
                <w:color w:val="auto"/>
                <w:sz w:val="21"/>
                <w:szCs w:val="21"/>
                <w:highlight w:val="none"/>
              </w:rPr>
              <w:t>向</w:t>
            </w:r>
            <w:r>
              <w:rPr>
                <w:rFonts w:hint="eastAsia" w:ascii="宋体" w:hAnsi="宋体" w:cs="宋体"/>
                <w:b/>
                <w:bCs/>
                <w:color w:val="auto"/>
                <w:sz w:val="21"/>
                <w:szCs w:val="21"/>
                <w:highlight w:val="none"/>
                <w:lang w:val="en-US" w:eastAsia="zh-CN"/>
              </w:rPr>
              <w:t>招标</w:t>
            </w:r>
            <w:r>
              <w:rPr>
                <w:rFonts w:hint="eastAsia" w:ascii="宋体" w:hAnsi="宋体" w:eastAsia="宋体" w:cs="宋体"/>
                <w:b/>
                <w:bCs/>
                <w:color w:val="auto"/>
                <w:sz w:val="21"/>
                <w:szCs w:val="21"/>
                <w:highlight w:val="none"/>
              </w:rPr>
              <w:t>代理机构进行支付。</w:t>
            </w:r>
          </w:p>
          <w:p w14:paraId="440D71B0">
            <w:pPr>
              <w:spacing w:line="240" w:lineRule="auto"/>
              <w:ind w:firstLine="0" w:firstLineChars="0"/>
              <w:jc w:val="left"/>
              <w:rPr>
                <w:rFonts w:hint="eastAsia"/>
                <w:color w:val="auto"/>
                <w:highlight w:val="none"/>
                <w:lang w:val="en-US" w:eastAsia="zh-CN"/>
              </w:rPr>
            </w:pPr>
            <w:r>
              <w:rPr>
                <w:rFonts w:hint="eastAsia" w:ascii="宋体" w:hAnsi="宋体" w:cs="宋体"/>
                <w:b/>
                <w:bCs/>
                <w:color w:val="auto"/>
                <w:sz w:val="21"/>
                <w:szCs w:val="21"/>
                <w:highlight w:val="none"/>
                <w:lang w:eastAsia="zh-CN"/>
              </w:rPr>
              <w:t>（</w:t>
            </w:r>
            <w:r>
              <w:rPr>
                <w:rFonts w:hint="eastAsia" w:ascii="宋体" w:hAnsi="宋体" w:cs="宋体"/>
                <w:b/>
                <w:bCs/>
                <w:color w:val="auto"/>
                <w:sz w:val="21"/>
                <w:szCs w:val="21"/>
                <w:highlight w:val="none"/>
                <w:lang w:val="en-US" w:eastAsia="zh-CN"/>
              </w:rPr>
              <w:t>2</w:t>
            </w:r>
            <w:r>
              <w:rPr>
                <w:rFonts w:hint="eastAsia" w:ascii="宋体" w:hAnsi="宋体" w:cs="宋体"/>
                <w:b/>
                <w:bCs/>
                <w:color w:val="auto"/>
                <w:sz w:val="21"/>
                <w:szCs w:val="21"/>
                <w:highlight w:val="none"/>
                <w:lang w:eastAsia="zh-CN"/>
              </w:rPr>
              <w:t>）代理费支付方式：</w:t>
            </w:r>
            <w:r>
              <w:rPr>
                <w:rFonts w:hint="eastAsia" w:ascii="宋体" w:hAnsi="宋体" w:cs="宋体"/>
                <w:b/>
                <w:bCs/>
                <w:color w:val="auto"/>
                <w:sz w:val="21"/>
                <w:szCs w:val="21"/>
                <w:highlight w:val="none"/>
                <w:lang w:val="en-US" w:eastAsia="zh-CN"/>
              </w:rPr>
              <w:t>中标人</w:t>
            </w:r>
            <w:r>
              <w:rPr>
                <w:rFonts w:hint="eastAsia" w:ascii="宋体" w:hAnsi="宋体" w:cs="宋体"/>
                <w:b/>
                <w:bCs/>
                <w:color w:val="auto"/>
                <w:sz w:val="21"/>
                <w:szCs w:val="21"/>
                <w:highlight w:val="none"/>
                <w:lang w:eastAsia="zh-CN"/>
              </w:rPr>
              <w:t>在收到</w:t>
            </w:r>
            <w:r>
              <w:rPr>
                <w:rFonts w:hint="eastAsia" w:ascii="宋体" w:hAnsi="宋体" w:cs="宋体"/>
                <w:b/>
                <w:bCs/>
                <w:color w:val="auto"/>
                <w:sz w:val="21"/>
                <w:szCs w:val="21"/>
                <w:highlight w:val="none"/>
                <w:lang w:val="en-US" w:eastAsia="zh-CN"/>
              </w:rPr>
              <w:t>中标</w:t>
            </w:r>
            <w:r>
              <w:rPr>
                <w:rFonts w:hint="eastAsia" w:ascii="宋体" w:hAnsi="宋体" w:cs="宋体"/>
                <w:b/>
                <w:bCs/>
                <w:color w:val="auto"/>
                <w:sz w:val="21"/>
                <w:szCs w:val="21"/>
                <w:highlight w:val="none"/>
                <w:lang w:eastAsia="zh-CN"/>
              </w:rPr>
              <w:t>通知书后7日内，按照上述支付标准向</w:t>
            </w:r>
            <w:r>
              <w:rPr>
                <w:rFonts w:hint="eastAsia" w:ascii="宋体" w:hAnsi="宋体" w:cs="宋体"/>
                <w:b/>
                <w:bCs/>
                <w:color w:val="auto"/>
                <w:sz w:val="21"/>
                <w:szCs w:val="21"/>
                <w:highlight w:val="none"/>
                <w:lang w:val="en-US" w:eastAsia="zh-CN"/>
              </w:rPr>
              <w:t>招标</w:t>
            </w:r>
            <w:r>
              <w:rPr>
                <w:rFonts w:hint="eastAsia" w:ascii="宋体" w:hAnsi="宋体" w:cs="宋体"/>
                <w:b/>
                <w:bCs/>
                <w:color w:val="auto"/>
                <w:sz w:val="21"/>
                <w:szCs w:val="21"/>
                <w:highlight w:val="none"/>
                <w:lang w:eastAsia="zh-CN"/>
              </w:rPr>
              <w:t>代理机构一次性全额交纳</w:t>
            </w:r>
            <w:r>
              <w:rPr>
                <w:rFonts w:hint="eastAsia" w:ascii="宋体" w:hAnsi="宋体" w:cs="宋体"/>
                <w:b/>
                <w:bCs/>
                <w:color w:val="auto"/>
                <w:sz w:val="21"/>
                <w:szCs w:val="21"/>
                <w:highlight w:val="none"/>
                <w:lang w:val="en-US" w:eastAsia="zh-CN"/>
              </w:rPr>
              <w:t>招标</w:t>
            </w:r>
            <w:r>
              <w:rPr>
                <w:rFonts w:hint="eastAsia" w:ascii="宋体" w:hAnsi="宋体" w:cs="宋体"/>
                <w:b/>
                <w:bCs/>
                <w:color w:val="auto"/>
                <w:sz w:val="21"/>
                <w:szCs w:val="21"/>
                <w:highlight w:val="none"/>
                <w:lang w:eastAsia="zh-CN"/>
              </w:rPr>
              <w:t>代理服务费。</w:t>
            </w:r>
          </w:p>
          <w:p w14:paraId="172000DF">
            <w:pPr>
              <w:spacing w:line="240" w:lineRule="auto"/>
              <w:ind w:firstLine="0" w:firstLineChars="0"/>
              <w:jc w:val="left"/>
              <w:rPr>
                <w:rFonts w:hint="eastAsia"/>
                <w:color w:val="auto"/>
                <w:highlight w:val="none"/>
              </w:rPr>
            </w:pPr>
            <w:r>
              <w:rPr>
                <w:rFonts w:hint="eastAsia"/>
                <w:color w:val="auto"/>
                <w:highlight w:val="none"/>
                <w:lang w:val="en-US" w:eastAsia="zh-CN"/>
              </w:rPr>
              <w:t>7</w:t>
            </w:r>
            <w:r>
              <w:rPr>
                <w:rFonts w:hint="eastAsia"/>
                <w:color w:val="auto"/>
                <w:highlight w:val="none"/>
              </w:rPr>
              <w:t>、其他需要说明的内容：</w:t>
            </w:r>
          </w:p>
          <w:p w14:paraId="2F02C809">
            <w:pPr>
              <w:spacing w:line="240" w:lineRule="auto"/>
              <w:ind w:firstLine="0" w:firstLineChars="0"/>
              <w:jc w:val="left"/>
              <w:rPr>
                <w:rFonts w:hint="eastAsia"/>
                <w:color w:val="auto"/>
                <w:highlight w:val="none"/>
              </w:rPr>
            </w:pPr>
            <w:r>
              <w:rPr>
                <w:rFonts w:hint="eastAsia"/>
                <w:color w:val="auto"/>
                <w:highlight w:val="none"/>
              </w:rPr>
              <w:t>（1）工程勘察、设计、施工和设备选型应满足当地环保、安监、消防、城建规划、供电、水保等要求；满足电力公司、质量监督站、安全、环保等验收要求，即便在招标范围内没有载明，但实际证明是确保项目发电运行、确保通过各方验收所必须的，则需纳入勘察、设计、采购、安装及提供服务范围并最终由发包人确定。</w:t>
            </w:r>
          </w:p>
          <w:p w14:paraId="0F4A444D">
            <w:pPr>
              <w:spacing w:line="240" w:lineRule="auto"/>
              <w:ind w:firstLine="0" w:firstLineChars="0"/>
              <w:jc w:val="left"/>
              <w:rPr>
                <w:rFonts w:hint="eastAsia"/>
                <w:color w:val="auto"/>
                <w:highlight w:val="none"/>
              </w:rPr>
            </w:pPr>
            <w:r>
              <w:rPr>
                <w:rFonts w:hint="eastAsia"/>
                <w:color w:val="auto"/>
                <w:highlight w:val="none"/>
              </w:rPr>
              <w:t>（2）按招标人要求制作施工期、运行期开关站及场区内所需的宣传标语，安全标志及设备标识、标牌。所有设备及材料（包含设备及材料）的进场抽样送检（由发包人认可的第三方实验室），全场接地网的接地电阻测试（由发包人认可的第三方，如：市级电网公司、气象局）等其他相关的测试，并提交测试报告。所有测试费用总承包方均应在投标时考虑在内，不管总包方在投标时是否单列该项费用，业主都认为报价总费用中已包含此项费用。</w:t>
            </w:r>
          </w:p>
          <w:p w14:paraId="2B8BCE98">
            <w:pPr>
              <w:spacing w:line="240" w:lineRule="auto"/>
              <w:ind w:firstLine="0" w:firstLineChars="0"/>
              <w:jc w:val="left"/>
              <w:rPr>
                <w:rFonts w:hint="eastAsia"/>
                <w:color w:val="auto"/>
                <w:highlight w:val="none"/>
              </w:rPr>
            </w:pPr>
            <w:r>
              <w:rPr>
                <w:rFonts w:hint="eastAsia"/>
                <w:color w:val="auto"/>
                <w:highlight w:val="none"/>
              </w:rPr>
              <w:t>（3）</w:t>
            </w:r>
            <w:r>
              <w:rPr>
                <w:color w:val="auto"/>
                <w:highlight w:val="none"/>
              </w:rPr>
              <w:t>业主有权要求对乙供即承包人提供的</w:t>
            </w:r>
            <w:r>
              <w:rPr>
                <w:rFonts w:hint="eastAsia" w:ascii="宋体" w:hAnsi="宋体" w:eastAsia="宋体" w:cs="宋体"/>
                <w:b/>
                <w:bCs/>
                <w:color w:val="auto"/>
                <w:szCs w:val="21"/>
                <w:highlight w:val="none"/>
              </w:rPr>
              <w:t>支架、</w:t>
            </w:r>
            <w:r>
              <w:rPr>
                <w:rFonts w:hint="eastAsia" w:ascii="宋体" w:hAnsi="宋体" w:eastAsia="宋体" w:cs="宋体"/>
                <w:b/>
                <w:bCs/>
                <w:color w:val="auto"/>
                <w:szCs w:val="21"/>
                <w:highlight w:val="none"/>
                <w:lang w:val="en-US" w:eastAsia="zh-CN"/>
              </w:rPr>
              <w:t>智能汇流箱、</w:t>
            </w:r>
            <w:r>
              <w:rPr>
                <w:rFonts w:hint="eastAsia"/>
                <w:b/>
                <w:bCs/>
                <w:color w:val="auto"/>
                <w:highlight w:val="none"/>
              </w:rPr>
              <w:t>电缆、</w:t>
            </w:r>
            <w:r>
              <w:rPr>
                <w:b/>
                <w:bCs/>
                <w:color w:val="auto"/>
                <w:highlight w:val="none"/>
              </w:rPr>
              <w:t>开关柜、主变</w:t>
            </w:r>
            <w:r>
              <w:rPr>
                <w:rFonts w:hint="eastAsia"/>
                <w:b/>
                <w:bCs/>
                <w:color w:val="auto"/>
                <w:highlight w:val="none"/>
                <w:lang w:eastAsia="zh-CN"/>
              </w:rPr>
              <w:t>、</w:t>
            </w:r>
            <w:r>
              <w:rPr>
                <w:rFonts w:hint="eastAsia"/>
                <w:b/>
                <w:bCs/>
                <w:color w:val="auto"/>
                <w:highlight w:val="none"/>
                <w:lang w:val="en-US" w:eastAsia="zh-CN"/>
              </w:rPr>
              <w:t>箱逆变一体机</w:t>
            </w:r>
            <w:r>
              <w:rPr>
                <w:b/>
                <w:bCs/>
                <w:color w:val="auto"/>
                <w:highlight w:val="none"/>
              </w:rPr>
              <w:t>、SVG、</w:t>
            </w:r>
            <w:r>
              <w:rPr>
                <w:rFonts w:hint="eastAsia"/>
                <w:b/>
                <w:bCs/>
                <w:color w:val="auto"/>
                <w:highlight w:val="none"/>
                <w:lang w:eastAsia="zh-CN"/>
              </w:rPr>
              <w:t>GIS</w:t>
            </w:r>
            <w:r>
              <w:rPr>
                <w:b/>
                <w:bCs/>
                <w:color w:val="auto"/>
                <w:highlight w:val="none"/>
              </w:rPr>
              <w:t>组合电器</w:t>
            </w:r>
            <w:r>
              <w:rPr>
                <w:color w:val="auto"/>
                <w:highlight w:val="none"/>
              </w:rPr>
              <w:t>等主要设备在出厂前进行监造。</w:t>
            </w:r>
          </w:p>
          <w:p w14:paraId="680F27A9">
            <w:pPr>
              <w:spacing w:line="240" w:lineRule="auto"/>
              <w:ind w:firstLine="0" w:firstLineChars="0"/>
              <w:jc w:val="left"/>
              <w:rPr>
                <w:rFonts w:hint="eastAsia"/>
                <w:color w:val="auto"/>
                <w:highlight w:val="none"/>
              </w:rPr>
            </w:pPr>
            <w:r>
              <w:rPr>
                <w:rFonts w:hint="eastAsia"/>
                <w:color w:val="auto"/>
                <w:highlight w:val="none"/>
                <w:lang w:val="en-US" w:eastAsia="zh-CN"/>
              </w:rPr>
              <w:t>8</w:t>
            </w:r>
            <w:r>
              <w:rPr>
                <w:rFonts w:hint="eastAsia"/>
                <w:color w:val="auto"/>
                <w:highlight w:val="none"/>
              </w:rPr>
              <w:t>、特别提示</w:t>
            </w:r>
          </w:p>
          <w:p w14:paraId="23A808BC">
            <w:pPr>
              <w:spacing w:line="240" w:lineRule="auto"/>
              <w:ind w:firstLine="0" w:firstLineChars="0"/>
              <w:jc w:val="left"/>
              <w:rPr>
                <w:rFonts w:hint="eastAsia"/>
                <w:color w:val="auto"/>
                <w:highlight w:val="none"/>
              </w:rPr>
            </w:pPr>
            <w:r>
              <w:rPr>
                <w:rFonts w:hint="eastAsia"/>
                <w:color w:val="auto"/>
                <w:highlight w:val="none"/>
              </w:rPr>
              <w:t>（1）本项目付款方式：</w:t>
            </w:r>
            <w:r>
              <w:rPr>
                <w:rFonts w:hint="eastAsia" w:ascii="宋体" w:hAnsi="宋体" w:eastAsia="宋体" w:cs="宋体"/>
                <w:color w:val="auto"/>
                <w:highlight w:val="none"/>
              </w:rPr>
              <w:t>电汇、汇票</w:t>
            </w:r>
            <w:r>
              <w:rPr>
                <w:rFonts w:hint="eastAsia"/>
                <w:color w:val="auto"/>
                <w:highlight w:val="none"/>
              </w:rPr>
              <w:t>；</w:t>
            </w:r>
          </w:p>
          <w:p w14:paraId="5CE3FD70">
            <w:pPr>
              <w:spacing w:line="240" w:lineRule="auto"/>
              <w:ind w:firstLine="0" w:firstLineChars="0"/>
              <w:jc w:val="left"/>
              <w:rPr>
                <w:rFonts w:hint="eastAsia"/>
                <w:color w:val="auto"/>
                <w:highlight w:val="none"/>
              </w:rPr>
            </w:pPr>
            <w:r>
              <w:rPr>
                <w:rFonts w:hint="eastAsia"/>
                <w:color w:val="auto"/>
                <w:highlight w:val="none"/>
              </w:rPr>
              <w:t>（2）</w:t>
            </w:r>
            <w:r>
              <w:rPr>
                <w:rFonts w:hint="eastAsia" w:ascii="宋体" w:hAnsi="宋体" w:eastAsia="宋体" w:cs="宋体"/>
                <w:b/>
                <w:bCs/>
                <w:color w:val="auto"/>
                <w:szCs w:val="21"/>
                <w:highlight w:val="none"/>
              </w:rPr>
              <w:t>支架、</w:t>
            </w:r>
            <w:r>
              <w:rPr>
                <w:rFonts w:hint="eastAsia" w:ascii="宋体" w:hAnsi="宋体" w:eastAsia="宋体" w:cs="宋体"/>
                <w:b/>
                <w:bCs/>
                <w:color w:val="auto"/>
                <w:szCs w:val="21"/>
                <w:highlight w:val="none"/>
                <w:lang w:val="en-US" w:eastAsia="zh-CN"/>
              </w:rPr>
              <w:t>智能汇流箱、</w:t>
            </w:r>
            <w:r>
              <w:rPr>
                <w:rFonts w:hint="eastAsia"/>
                <w:color w:val="auto"/>
                <w:highlight w:val="none"/>
              </w:rPr>
              <w:t>电缆、</w:t>
            </w:r>
            <w:r>
              <w:rPr>
                <w:rFonts w:hint="eastAsia"/>
                <w:color w:val="auto"/>
                <w:highlight w:val="none"/>
                <w:lang w:val="en-US" w:eastAsia="zh-CN"/>
              </w:rPr>
              <w:t>箱逆变一体机、</w:t>
            </w:r>
            <w:r>
              <w:rPr>
                <w:color w:val="auto"/>
                <w:highlight w:val="none"/>
              </w:rPr>
              <w:t>开关柜、主变、SVG、</w:t>
            </w:r>
            <w:r>
              <w:rPr>
                <w:rFonts w:hint="eastAsia"/>
                <w:color w:val="auto"/>
                <w:highlight w:val="none"/>
                <w:lang w:eastAsia="zh-CN"/>
              </w:rPr>
              <w:t>GIS</w:t>
            </w:r>
            <w:r>
              <w:rPr>
                <w:color w:val="auto"/>
                <w:highlight w:val="none"/>
              </w:rPr>
              <w:t>组合电器、二次系统等主要设备采购结果须经业主同意。</w:t>
            </w:r>
          </w:p>
          <w:p w14:paraId="3A7559A0">
            <w:pPr>
              <w:spacing w:line="240" w:lineRule="auto"/>
              <w:ind w:firstLine="0" w:firstLineChars="0"/>
              <w:jc w:val="left"/>
              <w:rPr>
                <w:rFonts w:hint="eastAsia"/>
                <w:color w:val="auto"/>
                <w:highlight w:val="none"/>
              </w:rPr>
            </w:pPr>
            <w:r>
              <w:rPr>
                <w:rFonts w:hint="eastAsia"/>
                <w:color w:val="auto"/>
                <w:highlight w:val="none"/>
              </w:rPr>
              <w:t>（3）参与投标的施工单位和设计单位要按照当地电力基本工程和国家对普通光伏电站验收的相关要求，如为省外企业，则自行办理施工许可及省外企业在省内施工、设计备案等电站验收所需要的各项手续。</w:t>
            </w:r>
          </w:p>
          <w:p w14:paraId="1FEF7A6F">
            <w:pPr>
              <w:spacing w:line="240" w:lineRule="auto"/>
              <w:ind w:firstLine="0" w:firstLineChars="0"/>
              <w:jc w:val="left"/>
              <w:rPr>
                <w:rFonts w:hint="eastAsia"/>
                <w:color w:val="auto"/>
                <w:highlight w:val="none"/>
              </w:rPr>
            </w:pPr>
            <w:r>
              <w:rPr>
                <w:rFonts w:hint="eastAsia"/>
                <w:color w:val="auto"/>
                <w:highlight w:val="none"/>
              </w:rPr>
              <w:t>（4）设备及主材等固定资产类（电缆</w:t>
            </w:r>
            <w:r>
              <w:rPr>
                <w:rFonts w:hint="eastAsia"/>
                <w:color w:val="auto"/>
                <w:highlight w:val="none"/>
                <w:lang w:eastAsia="zh-CN"/>
              </w:rPr>
              <w:t>、</w:t>
            </w:r>
            <w:r>
              <w:rPr>
                <w:rFonts w:hint="eastAsia" w:ascii="宋体" w:hAnsi="宋体" w:cs="宋体"/>
                <w:color w:val="auto"/>
                <w:szCs w:val="21"/>
                <w:highlight w:val="none"/>
                <w:lang w:val="en-US" w:eastAsia="zh-CN"/>
              </w:rPr>
              <w:t>塔材、</w:t>
            </w:r>
            <w:r>
              <w:rPr>
                <w:rFonts w:hint="eastAsia"/>
                <w:color w:val="auto"/>
                <w:highlight w:val="none"/>
                <w:lang w:val="en-US" w:eastAsia="zh-CN"/>
              </w:rPr>
              <w:t>支架</w:t>
            </w:r>
            <w:r>
              <w:rPr>
                <w:rFonts w:hint="eastAsia"/>
                <w:color w:val="auto"/>
                <w:highlight w:val="none"/>
              </w:rPr>
              <w:t>属于主材）开具13%增值税专用发票，建安工程费开具9%增值税专用发票，勘察费、设计费、服务费按照行业税率开具6%的增值税专用发票。开具发票以承包人提供的设备材料清单为依据。</w:t>
            </w:r>
          </w:p>
          <w:p w14:paraId="60DB505E">
            <w:pPr>
              <w:spacing w:line="240" w:lineRule="auto"/>
              <w:ind w:firstLine="0" w:firstLineChars="0"/>
              <w:jc w:val="left"/>
              <w:rPr>
                <w:rFonts w:hint="eastAsia"/>
                <w:color w:val="auto"/>
                <w:highlight w:val="none"/>
              </w:rPr>
            </w:pPr>
            <w:r>
              <w:rPr>
                <w:rFonts w:hint="eastAsia"/>
                <w:color w:val="auto"/>
                <w:highlight w:val="none"/>
                <w:lang w:val="en-US" w:eastAsia="zh-CN"/>
              </w:rPr>
              <w:t>9</w:t>
            </w:r>
            <w:r>
              <w:rPr>
                <w:rFonts w:hint="eastAsia"/>
                <w:color w:val="auto"/>
                <w:highlight w:val="none"/>
              </w:rPr>
              <w:t xml:space="preserve">、系统整体质量质保期不低于5年，所有设备及材料质保期详见附件A《太阳能公司2023-2025 年度光伏设备类合格供应商备选库名单》规定。具体部位的质量质保期在招标文件有要求的按要求执行，没有要求的应不低于《建设工程质量管理条例》及国家、行业规定的最低质量质保期限。 </w:t>
            </w:r>
          </w:p>
          <w:p w14:paraId="5C19FC9C">
            <w:pPr>
              <w:spacing w:line="240" w:lineRule="auto"/>
              <w:ind w:firstLine="0" w:firstLineChars="0"/>
              <w:jc w:val="left"/>
              <w:rPr>
                <w:rFonts w:hint="eastAsia" w:ascii="宋体" w:hAnsi="宋体" w:eastAsia="宋体" w:cs="宋体"/>
                <w:color w:val="auto"/>
                <w:highlight w:val="none"/>
              </w:rPr>
            </w:pPr>
            <w:r>
              <w:rPr>
                <w:rFonts w:hint="eastAsia"/>
                <w:color w:val="auto"/>
                <w:highlight w:val="none"/>
              </w:rPr>
              <w:t>1</w:t>
            </w:r>
            <w:r>
              <w:rPr>
                <w:rFonts w:hint="eastAsia"/>
                <w:color w:val="auto"/>
                <w:highlight w:val="none"/>
                <w:lang w:val="en-US" w:eastAsia="zh-CN"/>
              </w:rPr>
              <w:t>0</w:t>
            </w:r>
            <w:r>
              <w:rPr>
                <w:rFonts w:hint="eastAsia"/>
                <w:color w:val="auto"/>
                <w:highlight w:val="none"/>
              </w:rPr>
              <w:t>、工程质保金：本工程质保金为工程结算总价的3%。                                                                                                                     1</w:t>
            </w:r>
            <w:r>
              <w:rPr>
                <w:rFonts w:hint="eastAsia"/>
                <w:color w:val="auto"/>
                <w:highlight w:val="none"/>
                <w:lang w:val="en-US" w:eastAsia="zh-CN"/>
              </w:rPr>
              <w:t>1、</w:t>
            </w:r>
            <w:r>
              <w:rPr>
                <w:rFonts w:hint="eastAsia" w:ascii="宋体" w:hAnsi="宋体" w:eastAsia="宋体" w:cs="宋体"/>
                <w:b/>
                <w:bCs/>
                <w:color w:val="auto"/>
                <w:highlight w:val="none"/>
              </w:rPr>
              <w:t>承包人应承担和履行建设工地现场任何疾病防控主体责任，做好人员防护、环境消杀、阳性人员排查及救治等工作。如发生人员感染、患者救治或死亡、防控消杀等情况，相关费用以及工期延误造成的损失均由承包人承担，并赔偿由此给发包人及关联方造成的一切损失。</w:t>
            </w:r>
          </w:p>
          <w:p w14:paraId="1A9DEE33">
            <w:pPr>
              <w:spacing w:line="240" w:lineRule="auto"/>
              <w:ind w:firstLine="0" w:firstLineChars="0"/>
              <w:jc w:val="left"/>
              <w:rPr>
                <w:rFonts w:hint="eastAsia" w:ascii="宋体" w:hAnsi="宋体" w:eastAsia="宋体" w:cs="宋体"/>
                <w:color w:val="auto"/>
                <w:szCs w:val="21"/>
                <w:highlight w:val="none"/>
              </w:rPr>
            </w:pPr>
            <w:r>
              <w:rPr>
                <w:rFonts w:hint="eastAsia" w:ascii="宋体" w:hAnsi="宋体" w:eastAsia="宋体" w:cs="宋体"/>
                <w:color w:val="auto"/>
                <w:highlight w:val="none"/>
              </w:rPr>
              <w:t>1</w:t>
            </w:r>
            <w:r>
              <w:rPr>
                <w:rFonts w:hint="eastAsia" w:ascii="宋体" w:hAnsi="宋体" w:eastAsia="宋体" w:cs="宋体"/>
                <w:color w:val="auto"/>
                <w:highlight w:val="none"/>
                <w:lang w:val="en-US" w:eastAsia="zh-CN"/>
              </w:rPr>
              <w:t>2</w:t>
            </w:r>
            <w:r>
              <w:rPr>
                <w:rFonts w:hint="eastAsia" w:ascii="宋体" w:hAnsi="宋体" w:eastAsia="宋体" w:cs="宋体"/>
                <w:color w:val="auto"/>
                <w:highlight w:val="none"/>
              </w:rPr>
              <w:t>、</w:t>
            </w:r>
            <w:r>
              <w:rPr>
                <w:rFonts w:hint="eastAsia" w:ascii="宋体" w:hAnsi="宋体" w:eastAsia="宋体" w:cs="宋体"/>
                <w:b/>
                <w:bCs/>
                <w:color w:val="auto"/>
                <w:highlight w:val="none"/>
              </w:rPr>
              <w:t>因承包人或其分包人原因导致维权事件的，根据该维权事件的规模、行为方式、激烈程度、社会危害、发展趋势等因素，将维权事件等级划分为重大、较大、普通三个等级。1.有下列情况之一的，为重大等级事件：（1）一次参与人数达50人以上的，发包人现场无法正常工作；（2）在所属市县（区）政治敏感地区或其他重要场所聚集、堵塞交通，聚集人数在25人以上的；（3）已发生打、砸、妨碍现场执法等严重违法行为的；（4）其他情节严重影响恶劣需要作为重大等级对待事件的。2.有下列情况之一的，为较大等级事件：（1）一次参与人数在10至50人之间的，严重影响发包人现场工作；（2）在所属市县（区）政治敏感地区及其他重要场所聚集、堵塞交通，聚集人数在5至25人之间的；（3）参与人员具有一定对抗性特征的；（4）其他情节较重影响较恶劣作为较大等级对待事件的。3.人数在10人以下，且未达到上述两级事件标准的，属于普通等级事件。承包人参照以上标准，出现重大等级事件承包人支付每次500000元违约金、出现较大等级等级承包人支付每次250000元违约金、出现普通等级事件承包人支付每次50000元违约金。如因承包人或其分包人相关工程拖欠农民工工资导致引起影响恶劣的上访事件等，承包人按拖欠农民工工资同等金额或 500000元中较高者支付违约金。如承包人或其分包人未及时发放农民工工资、承包人在接到发包人通知后5个工作日内未解决的，承包人在此授权发包人可以不征得承包人同意，单方面按承包人的相关农民工所提供的合理证据支付农民工工资等相关费用，此项费用和所产生的损失可在应支付承包人的任何款项中扣除，承包人承诺不提任何异议。</w:t>
            </w:r>
          </w:p>
          <w:p w14:paraId="73C130B1">
            <w:pPr>
              <w:spacing w:line="240" w:lineRule="auto"/>
              <w:ind w:firstLine="0" w:firstLineChars="0"/>
              <w:jc w:val="left"/>
              <w:rPr>
                <w:rFonts w:hint="eastAsia" w:cs="Times New Roman"/>
                <w:b/>
                <w:bCs/>
                <w:color w:val="auto"/>
                <w:szCs w:val="24"/>
                <w:highlight w:val="none"/>
                <w:lang w:eastAsia="zh-CN"/>
              </w:rPr>
            </w:pPr>
            <w:r>
              <w:rPr>
                <w:rFonts w:hint="eastAsia" w:ascii="Times New Roman" w:hAnsi="Times New Roman" w:eastAsia="宋体" w:cs="Times New Roman"/>
                <w:b/>
                <w:bCs/>
                <w:color w:val="auto"/>
                <w:szCs w:val="24"/>
                <w:highlight w:val="none"/>
              </w:rPr>
              <w:t>1</w:t>
            </w:r>
            <w:r>
              <w:rPr>
                <w:rFonts w:hint="eastAsia" w:ascii="Times New Roman" w:hAnsi="Times New Roman" w:eastAsia="宋体" w:cs="Times New Roman"/>
                <w:b/>
                <w:bCs/>
                <w:color w:val="auto"/>
                <w:szCs w:val="24"/>
                <w:highlight w:val="none"/>
                <w:lang w:val="en-US" w:eastAsia="zh-CN"/>
              </w:rPr>
              <w:t>3</w:t>
            </w:r>
            <w:r>
              <w:rPr>
                <w:rFonts w:hint="eastAsia" w:ascii="Times New Roman" w:hAnsi="Times New Roman" w:eastAsia="宋体" w:cs="Times New Roman"/>
                <w:b/>
                <w:bCs/>
                <w:color w:val="auto"/>
                <w:szCs w:val="24"/>
                <w:highlight w:val="none"/>
              </w:rPr>
              <w:t>、</w:t>
            </w:r>
            <w:r>
              <w:rPr>
                <w:rFonts w:hint="eastAsia" w:cs="Times New Roman"/>
                <w:b/>
                <w:bCs/>
                <w:color w:val="auto"/>
                <w:szCs w:val="24"/>
                <w:highlight w:val="none"/>
                <w:lang w:eastAsia="zh-CN"/>
              </w:rPr>
              <w:t>本光伏电站系统效率必须满足首年不低于</w:t>
            </w:r>
            <w:r>
              <w:rPr>
                <w:rFonts w:hint="eastAsia" w:ascii="Times New Roman" w:hAnsi="Times New Roman" w:eastAsia="宋体" w:cs="Times New Roman"/>
                <w:b/>
                <w:bCs/>
                <w:color w:val="auto"/>
                <w:sz w:val="21"/>
                <w:szCs w:val="24"/>
                <w:highlight w:val="none"/>
                <w:shd w:val="clear" w:color="auto" w:fill="auto"/>
                <w:lang w:val="en-US" w:eastAsia="zh-CN"/>
              </w:rPr>
              <w:t>86.56%</w:t>
            </w:r>
            <w:r>
              <w:rPr>
                <w:rFonts w:hint="eastAsia" w:cs="Times New Roman"/>
                <w:b/>
                <w:bCs/>
                <w:color w:val="auto"/>
                <w:szCs w:val="24"/>
                <w:highlight w:val="none"/>
                <w:lang w:eastAsia="zh-CN"/>
              </w:rPr>
              <w:t>，交流侧容量约</w:t>
            </w:r>
            <w:r>
              <w:rPr>
                <w:rFonts w:hint="eastAsia" w:cs="Times New Roman"/>
                <w:b/>
                <w:bCs/>
                <w:color w:val="auto"/>
                <w:szCs w:val="24"/>
                <w:highlight w:val="none"/>
                <w:lang w:val="en-US" w:eastAsia="zh-CN"/>
              </w:rPr>
              <w:t>1</w:t>
            </w:r>
            <w:r>
              <w:rPr>
                <w:rFonts w:hint="eastAsia" w:cs="Times New Roman"/>
                <w:b/>
                <w:bCs/>
                <w:color w:val="auto"/>
                <w:szCs w:val="24"/>
                <w:highlight w:val="none"/>
                <w:lang w:eastAsia="zh-CN"/>
              </w:rPr>
              <w:t>00兆瓦，单个逆变单元直流侧与交流侧容配比约</w:t>
            </w:r>
            <w:r>
              <w:rPr>
                <w:rFonts w:hint="eastAsia" w:cs="Times New Roman"/>
                <w:b/>
                <w:bCs/>
                <w:color w:val="auto"/>
                <w:szCs w:val="24"/>
                <w:highlight w:val="none"/>
                <w:lang w:val="en-US" w:eastAsia="zh-CN"/>
              </w:rPr>
              <w:t>1</w:t>
            </w:r>
            <w:r>
              <w:rPr>
                <w:rFonts w:hint="eastAsia" w:cs="Times New Roman"/>
                <w:b/>
                <w:bCs/>
                <w:color w:val="auto"/>
                <w:szCs w:val="24"/>
                <w:highlight w:val="none"/>
                <w:lang w:eastAsia="zh-CN"/>
              </w:rPr>
              <w:t>：</w:t>
            </w:r>
            <w:r>
              <w:rPr>
                <w:rFonts w:hint="eastAsia" w:cs="Times New Roman"/>
                <w:b/>
                <w:bCs/>
                <w:color w:val="auto"/>
                <w:szCs w:val="24"/>
                <w:highlight w:val="none"/>
                <w:lang w:val="en-US" w:eastAsia="zh-CN"/>
              </w:rPr>
              <w:t>1</w:t>
            </w:r>
            <w:r>
              <w:rPr>
                <w:rFonts w:hint="eastAsia" w:cs="Times New Roman"/>
                <w:b/>
                <w:bCs/>
                <w:color w:val="auto"/>
                <w:szCs w:val="24"/>
                <w:highlight w:val="none"/>
                <w:lang w:eastAsia="zh-CN"/>
              </w:rPr>
              <w:t>。</w:t>
            </w:r>
          </w:p>
          <w:p w14:paraId="2B4E042F">
            <w:pPr>
              <w:spacing w:line="240" w:lineRule="auto"/>
              <w:ind w:firstLine="0" w:firstLineChars="0"/>
              <w:jc w:val="left"/>
              <w:rPr>
                <w:rFonts w:hint="eastAsia"/>
                <w:b w:val="0"/>
                <w:bCs w:val="0"/>
                <w:color w:val="auto"/>
                <w:highlight w:val="none"/>
              </w:rPr>
            </w:pPr>
            <w:r>
              <w:rPr>
                <w:rFonts w:hint="eastAsia"/>
                <w:b/>
                <w:bCs/>
                <w:color w:val="auto"/>
                <w:highlight w:val="none"/>
              </w:rPr>
              <w:t>1</w:t>
            </w:r>
            <w:r>
              <w:rPr>
                <w:rFonts w:hint="eastAsia"/>
                <w:b/>
                <w:bCs/>
                <w:color w:val="auto"/>
                <w:highlight w:val="none"/>
                <w:lang w:val="en-US" w:eastAsia="zh-CN"/>
              </w:rPr>
              <w:t>4</w:t>
            </w:r>
            <w:r>
              <w:rPr>
                <w:rFonts w:hint="eastAsia"/>
                <w:b/>
                <w:bCs/>
                <w:color w:val="auto"/>
                <w:highlight w:val="none"/>
              </w:rPr>
              <w:t>、本次付款</w:t>
            </w:r>
            <w:r>
              <w:rPr>
                <w:rFonts w:hint="eastAsia"/>
                <w:b/>
                <w:bCs/>
                <w:color w:val="auto"/>
                <w:highlight w:val="none"/>
                <w:lang w:val="en-US" w:eastAsia="zh-CN"/>
              </w:rPr>
              <w:t>条件</w:t>
            </w:r>
            <w:r>
              <w:rPr>
                <w:rFonts w:hint="eastAsia"/>
                <w:b/>
                <w:bCs/>
                <w:color w:val="auto"/>
                <w:highlight w:val="none"/>
              </w:rPr>
              <w:t>为项目全装机容量并网后付款到合同价格总额的8</w:t>
            </w:r>
            <w:r>
              <w:rPr>
                <w:rFonts w:hint="eastAsia"/>
                <w:b/>
                <w:bCs/>
                <w:color w:val="auto"/>
                <w:highlight w:val="none"/>
                <w:lang w:val="en-US" w:eastAsia="zh-CN"/>
              </w:rPr>
              <w:t>5</w:t>
            </w:r>
            <w:r>
              <w:rPr>
                <w:rFonts w:hint="eastAsia"/>
                <w:b/>
                <w:bCs/>
                <w:color w:val="auto"/>
                <w:highlight w:val="none"/>
              </w:rPr>
              <w:t>%，具体以招标文件第四章合同条款及格式中的规定为准。</w:t>
            </w:r>
          </w:p>
          <w:p w14:paraId="31F939B3">
            <w:pPr>
              <w:spacing w:line="240" w:lineRule="auto"/>
              <w:ind w:firstLine="0" w:firstLineChars="0"/>
              <w:jc w:val="left"/>
              <w:rPr>
                <w:rFonts w:hint="eastAsia" w:ascii="宋体" w:hAnsi="宋体" w:eastAsia="宋体" w:cs="宋体"/>
                <w:b/>
                <w:bCs/>
                <w:color w:val="auto"/>
                <w:highlight w:val="none"/>
                <w:lang w:val="en-US" w:eastAsia="zh-CN"/>
              </w:rPr>
            </w:pPr>
            <w:r>
              <w:rPr>
                <w:rFonts w:hint="eastAsia" w:eastAsia="Times New Roman"/>
                <w:b/>
                <w:bCs/>
                <w:color w:val="auto"/>
                <w:highlight w:val="none"/>
              </w:rPr>
              <w:t>1</w:t>
            </w:r>
            <w:r>
              <w:rPr>
                <w:rFonts w:hint="eastAsia" w:eastAsia="宋体"/>
                <w:b/>
                <w:bCs/>
                <w:color w:val="auto"/>
                <w:highlight w:val="none"/>
                <w:lang w:val="en-US" w:eastAsia="zh-CN"/>
              </w:rPr>
              <w:t>5</w:t>
            </w:r>
            <w:r>
              <w:rPr>
                <w:rFonts w:hint="eastAsia" w:ascii="宋体" w:hAnsi="宋体" w:eastAsia="宋体" w:cs="宋体"/>
                <w:b/>
                <w:bCs/>
                <w:color w:val="auto"/>
                <w:highlight w:val="none"/>
              </w:rPr>
              <w:t>、安全生产费符合国家、行业及地方标准，不得低于投标建安工程费（建筑工程费+安装费）总价的2.5%，否则视为未实质性响应招标文件要求，其投标将被否决。</w:t>
            </w:r>
            <w:r>
              <w:rPr>
                <w:rFonts w:hint="eastAsia" w:ascii="宋体" w:hAnsi="宋体" w:eastAsia="宋体" w:cs="宋体"/>
                <w:b/>
                <w:bCs/>
                <w:color w:val="auto"/>
                <w:highlight w:val="none"/>
                <w:lang w:val="en-US" w:eastAsia="zh-CN"/>
              </w:rPr>
              <w:t xml:space="preserve">    16、分包要求及选型要求：</w:t>
            </w:r>
          </w:p>
          <w:p w14:paraId="397C1044">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1）所有设备和元器件的品牌、技术性能、材料材质等未满足招投标文件、技术协议、合同条款规定的，发包人有权要求换货。如换货仍未达到规定的，发包人有权要求承包人无条件退货，承包人应承担因换货、退货带来的发电量、电价、工程延期等损失，承包人承担换货、退货相关费用。如换货仍未达到规定的，发包人有权要求承包人支付违约金（违约金视具体情况确定，最高不超过合同金额的3%），同时发包人有权清退承包人或自行采购其设备，相应款项从总包合同工程款项中扣除。</w:t>
            </w:r>
          </w:p>
          <w:p w14:paraId="5F47FD6C">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17、发包人与承包人的分包人无合同关系，承包人对其与分包人之间的纠纷负全部责任。如发生以下事项，发包人暂停支付其分包相对应的总包工程款，直至相关问题妥善解决，并视情况影响大小承包人向发包人支付20-50万元违约金：</w:t>
            </w:r>
          </w:p>
          <w:p w14:paraId="35C9CE24">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1）承包人未能妥善处理与其分包人之间的纠纷，导致分包人通过上访、举报、聚众闹事等方式向发包人反映问题的；</w:t>
            </w:r>
          </w:p>
          <w:p w14:paraId="7E088AB8">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2）承包人未能妥善处理与其分包人之间的纠纷，导致分包人通过堵门、电话骚扰等方式向发包人反馈问题，影响发包人正常办公秩序或发包人员工正常生活、工作的；</w:t>
            </w:r>
          </w:p>
          <w:p w14:paraId="773604B4">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3）分包人拒绝执行当地行政机关相关规定的；</w:t>
            </w:r>
          </w:p>
          <w:p w14:paraId="637829C2">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注：发生上述问题后承包人仍不及时妥善解决或未积极解决导致发生工程停工等重大影响事项，发包人暂停支付全部工程款，直至相关问题妥善解决，并再次向发包人支付500万元违约金。发包人将向其国有出资人申请把承包人列入上级单位黑名单，对承包人在采购及招标活动中依次采取暂停交易资格2-3年或永久取消交易资格等处罚措施。发包人有权要求承包人赔偿因以上问题导致的相关损失。</w:t>
            </w:r>
          </w:p>
          <w:p w14:paraId="15949FCA">
            <w:pPr>
              <w:spacing w:line="240" w:lineRule="auto"/>
              <w:ind w:firstLine="480" w:firstLineChars="200"/>
              <w:jc w:val="left"/>
              <w:rPr>
                <w:color w:val="auto"/>
                <w:highlight w:val="none"/>
              </w:rPr>
            </w:pPr>
            <w:r>
              <w:rPr>
                <w:rFonts w:hint="eastAsia" w:ascii="宋体" w:hAnsi="宋体" w:eastAsia="宋体" w:cs="宋体"/>
                <w:b/>
                <w:bCs/>
                <w:color w:val="auto"/>
                <w:highlight w:val="none"/>
                <w:lang w:val="en-US" w:eastAsia="zh-CN"/>
              </w:rPr>
              <w:t>为避免歧义，如本条款约定的情形系分包人分、转包的承揽主体所致或实施的，视为分包人所致或实施。</w:t>
            </w:r>
          </w:p>
          <w:p w14:paraId="4DF996F5">
            <w:pPr>
              <w:numPr>
                <w:ilvl w:val="0"/>
                <w:numId w:val="8"/>
              </w:numPr>
              <w:spacing w:line="240" w:lineRule="auto"/>
              <w:ind w:firstLine="480" w:firstLineChars="20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 xml:space="preserve">本项目合同以招标文件中提供合同模板为准，合同签订时合同条款不做任何调整。          </w:t>
            </w:r>
          </w:p>
          <w:p w14:paraId="06607B3C">
            <w:pPr>
              <w:spacing w:line="240" w:lineRule="auto"/>
              <w:ind w:firstLine="0" w:firstLineChars="0"/>
              <w:jc w:val="left"/>
              <w:rPr>
                <w:rFonts w:eastAsia="宋体"/>
                <w:color w:val="auto"/>
                <w:highlight w:val="none"/>
              </w:rPr>
            </w:pPr>
          </w:p>
        </w:tc>
      </w:tr>
      <w:tr w14:paraId="44F00DED">
        <w:trPr>
          <w:trHeight w:val="20" w:hRule="atLeast"/>
          <w:jc w:val="center"/>
        </w:trPr>
        <w:tc>
          <w:tcPr>
            <w:tcW w:w="1165" w:type="dxa"/>
            <w:vMerge w:val="restart"/>
            <w:noWrap w:val="0"/>
            <w:vAlign w:val="center"/>
          </w:tcPr>
          <w:p w14:paraId="7A6EA3E3">
            <w:pPr>
              <w:spacing w:line="240" w:lineRule="auto"/>
              <w:jc w:val="center"/>
              <w:rPr>
                <w:rFonts w:hint="eastAsia" w:ascii="宋体" w:hAnsi="宋体" w:eastAsia="宋体" w:cs="宋体"/>
                <w:color w:val="auto"/>
                <w:szCs w:val="21"/>
                <w:highlight w:val="none"/>
              </w:rPr>
            </w:pPr>
          </w:p>
          <w:p w14:paraId="61DDC8F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10</w:t>
            </w:r>
          </w:p>
        </w:tc>
        <w:tc>
          <w:tcPr>
            <w:tcW w:w="2766" w:type="dxa"/>
            <w:noWrap w:val="0"/>
            <w:vAlign w:val="center"/>
          </w:tcPr>
          <w:p w14:paraId="31226997">
            <w:pPr>
              <w:keepLines/>
              <w:topLinePunct/>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电子招标投标</w:t>
            </w:r>
          </w:p>
        </w:tc>
        <w:tc>
          <w:tcPr>
            <w:tcW w:w="5433" w:type="dxa"/>
            <w:noWrap w:val="0"/>
            <w:vAlign w:val="center"/>
          </w:tcPr>
          <w:p w14:paraId="025E0898">
            <w:pPr>
              <w:keepLines/>
              <w:topLinePunct/>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采用电子招标投标</w:t>
            </w:r>
          </w:p>
        </w:tc>
      </w:tr>
      <w:tr w14:paraId="28E31232">
        <w:trPr>
          <w:trHeight w:val="20" w:hRule="atLeast"/>
          <w:jc w:val="center"/>
        </w:trPr>
        <w:tc>
          <w:tcPr>
            <w:tcW w:w="1165" w:type="dxa"/>
            <w:vMerge w:val="continue"/>
            <w:noWrap w:val="0"/>
            <w:vAlign w:val="center"/>
          </w:tcPr>
          <w:p w14:paraId="65A168D3">
            <w:pPr>
              <w:spacing w:line="240" w:lineRule="auto"/>
              <w:jc w:val="center"/>
              <w:rPr>
                <w:rFonts w:hint="eastAsia" w:ascii="宋体" w:hAnsi="宋体" w:eastAsia="宋体" w:cs="宋体"/>
                <w:color w:val="auto"/>
                <w:szCs w:val="21"/>
                <w:highlight w:val="none"/>
              </w:rPr>
            </w:pPr>
          </w:p>
        </w:tc>
        <w:tc>
          <w:tcPr>
            <w:tcW w:w="2766" w:type="dxa"/>
            <w:noWrap w:val="0"/>
            <w:vAlign w:val="center"/>
          </w:tcPr>
          <w:p w14:paraId="0411B0A1">
            <w:pPr>
              <w:keepLines/>
              <w:topLinePunct/>
              <w:spacing w:line="240" w:lineRule="auto"/>
              <w:jc w:val="center"/>
              <w:rPr>
                <w:rFonts w:hint="eastAsia" w:ascii="宋体" w:hAnsi="宋体" w:eastAsia="宋体" w:cs="宋体"/>
                <w:color w:val="auto"/>
                <w:kern w:val="0"/>
                <w:szCs w:val="21"/>
                <w:highlight w:val="none"/>
                <w:lang w:bidi="ar"/>
              </w:rPr>
            </w:pPr>
            <w:r>
              <w:rPr>
                <w:rFonts w:hint="eastAsia" w:ascii="宋体" w:hAnsi="宋体" w:eastAsia="宋体" w:cs="宋体"/>
                <w:color w:val="auto"/>
                <w:szCs w:val="21"/>
                <w:highlight w:val="none"/>
              </w:rPr>
              <w:t>上传中节能电子采购平台系统电子投标文件编制</w:t>
            </w:r>
          </w:p>
        </w:tc>
        <w:tc>
          <w:tcPr>
            <w:tcW w:w="5433" w:type="dxa"/>
            <w:noWrap w:val="0"/>
            <w:vAlign w:val="center"/>
          </w:tcPr>
          <w:p w14:paraId="1185A5BA">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（1）电子投标文件全部采用电子文档，电子投标文件应使用《中节能投标文件制作软件》制作（电子投标文件格式为*.ZJNTF）。编制方法详见中节能投标文件制作软件操作手册。</w:t>
            </w:r>
          </w:p>
          <w:p w14:paraId="64611972">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（2）电子投标文件根据招标文件要求进行编制，并按招标文件要求进行加密。</w:t>
            </w:r>
          </w:p>
          <w:p w14:paraId="7074F1E3">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（3）在编制电子投标文件时，涉及的每张图片内容应清晰可见，建议使用JPG格式的文件。</w:t>
            </w:r>
          </w:p>
          <w:p w14:paraId="57581AB4">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（4）投标人须下载并安装《中节能投标文件制作软件》（“电子交易平台网站”-下载中心），通过该软件编制、加密并最终生成线上投标文件递交，具体操作规程见《供应商操作手册》</w:t>
            </w:r>
          </w:p>
          <w:p w14:paraId="6096E0B4">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（5）</w:t>
            </w:r>
            <w:r>
              <w:rPr>
                <w:rFonts w:hint="eastAsia" w:ascii="宋体" w:hAnsi="宋体" w:cs="宋体"/>
                <w:color w:val="auto"/>
                <w:highlight w:val="none"/>
              </w:rPr>
              <w:t>中国节能环保集团有限公司电子采购平台所使用的数字证书（CA）办理方式请见中国节能环保集团电子采购平台网站服务中心-服务指南-CA办理栏目（https://www.ebidding.cecep.cn/fwzn/005003/005003002/about2.html）中的相关公告。</w:t>
            </w:r>
          </w:p>
          <w:p w14:paraId="65750C65">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（6）电子投标文件制作须使用数字证书（CA），投标人如在获取招标文件时未办理数字证书（CA），则获取后应尽快办理，由于未及时办理导致无法按时递交电子投标文件的，后果及责任由投标人自行负责。</w:t>
            </w:r>
          </w:p>
          <w:p w14:paraId="336E41CA">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（7）建议投标人采用同一台微软操作系统的电脑进行投标文件的上传、解密。</w:t>
            </w:r>
          </w:p>
          <w:p w14:paraId="7441A2DD">
            <w:pPr>
              <w:keepLines/>
              <w:topLinePunct/>
              <w:spacing w:line="240" w:lineRule="auto"/>
              <w:jc w:val="left"/>
              <w:rPr>
                <w:rFonts w:hint="eastAsia" w:ascii="宋体" w:hAnsi="宋体" w:eastAsia="宋体" w:cs="宋体"/>
                <w:color w:val="auto"/>
                <w:szCs w:val="21"/>
                <w:highlight w:val="none"/>
                <w:lang w:bidi="ar"/>
              </w:rPr>
            </w:pPr>
            <w:r>
              <w:rPr>
                <w:rFonts w:hint="eastAsia" w:ascii="宋体" w:hAnsi="宋体" w:cs="宋体"/>
                <w:b/>
                <w:bCs/>
                <w:color w:val="auto"/>
                <w:highlight w:val="none"/>
              </w:rPr>
              <w:t>（8）投标人上传平台的电子投标文件（电子投标文件格式为*.ZJNTF）如因</w:t>
            </w:r>
            <w:r>
              <w:rPr>
                <w:rFonts w:hint="eastAsia" w:ascii="宋体" w:hAnsi="宋体" w:cs="宋体"/>
                <w:b/>
                <w:bCs/>
                <w:color w:val="auto"/>
                <w:highlight w:val="none"/>
                <w:lang w:val="en-US" w:eastAsia="zh-CN"/>
              </w:rPr>
              <w:t>投标人</w:t>
            </w:r>
            <w:r>
              <w:rPr>
                <w:rFonts w:hint="eastAsia" w:ascii="宋体" w:hAnsi="宋体" w:cs="宋体"/>
                <w:b/>
                <w:bCs/>
                <w:color w:val="auto"/>
                <w:highlight w:val="none"/>
              </w:rPr>
              <w:t>自身原因在开标时发生无法读取、解密或导入，导致其无法</w:t>
            </w:r>
            <w:r>
              <w:rPr>
                <w:rFonts w:hint="eastAsia" w:ascii="宋体" w:hAnsi="宋体" w:cs="宋体"/>
                <w:b/>
                <w:bCs/>
                <w:color w:val="auto"/>
                <w:highlight w:val="none"/>
                <w:lang w:val="en-US" w:eastAsia="zh-CN"/>
              </w:rPr>
              <w:t>正常进行开标、评标</w:t>
            </w:r>
            <w:r>
              <w:rPr>
                <w:rFonts w:hint="eastAsia" w:ascii="宋体" w:hAnsi="宋体" w:cs="宋体"/>
                <w:b/>
                <w:bCs/>
                <w:color w:val="auto"/>
                <w:highlight w:val="none"/>
              </w:rPr>
              <w:t>，</w:t>
            </w:r>
            <w:r>
              <w:rPr>
                <w:rFonts w:hint="eastAsia" w:ascii="宋体" w:hAnsi="宋体" w:cs="宋体"/>
                <w:b/>
                <w:bCs/>
                <w:color w:val="auto"/>
                <w:highlight w:val="none"/>
                <w:lang w:val="en-US" w:eastAsia="zh-CN"/>
              </w:rPr>
              <w:t>所</w:t>
            </w:r>
            <w:r>
              <w:rPr>
                <w:rFonts w:hint="eastAsia" w:ascii="宋体" w:hAnsi="宋体" w:cs="宋体"/>
                <w:b/>
                <w:bCs/>
                <w:color w:val="auto"/>
                <w:highlight w:val="none"/>
              </w:rPr>
              <w:t>造成</w:t>
            </w:r>
            <w:r>
              <w:rPr>
                <w:rFonts w:hint="eastAsia" w:ascii="宋体" w:hAnsi="宋体" w:cs="宋体"/>
                <w:b/>
                <w:bCs/>
                <w:color w:val="auto"/>
                <w:highlight w:val="none"/>
                <w:lang w:val="en-US" w:eastAsia="zh-CN"/>
              </w:rPr>
              <w:t>的</w:t>
            </w:r>
            <w:r>
              <w:rPr>
                <w:rFonts w:hint="eastAsia" w:ascii="宋体" w:hAnsi="宋体" w:cs="宋体"/>
                <w:b/>
                <w:bCs/>
                <w:color w:val="auto"/>
                <w:highlight w:val="none"/>
              </w:rPr>
              <w:t>后果</w:t>
            </w:r>
            <w:r>
              <w:rPr>
                <w:rFonts w:hint="eastAsia" w:ascii="宋体" w:hAnsi="宋体" w:cs="宋体"/>
                <w:b/>
                <w:bCs/>
                <w:color w:val="auto"/>
                <w:highlight w:val="none"/>
                <w:lang w:val="en-US" w:eastAsia="zh-CN"/>
              </w:rPr>
              <w:t>及责任</w:t>
            </w:r>
            <w:r>
              <w:rPr>
                <w:rFonts w:hint="eastAsia" w:ascii="宋体" w:hAnsi="宋体" w:cs="宋体"/>
                <w:b/>
                <w:bCs/>
                <w:color w:val="auto"/>
                <w:highlight w:val="none"/>
              </w:rPr>
              <w:t>由投标人自行承担。</w:t>
            </w:r>
          </w:p>
        </w:tc>
      </w:tr>
      <w:tr w14:paraId="047B184E">
        <w:trPr>
          <w:trHeight w:val="2053" w:hRule="atLeast"/>
          <w:jc w:val="center"/>
        </w:trPr>
        <w:tc>
          <w:tcPr>
            <w:tcW w:w="3931" w:type="dxa"/>
            <w:gridSpan w:val="2"/>
            <w:noWrap w:val="0"/>
            <w:vAlign w:val="center"/>
          </w:tcPr>
          <w:p w14:paraId="1980C5AD">
            <w:pPr>
              <w:wordWrap w:val="0"/>
              <w:contextualSpacing/>
              <w:jc w:val="center"/>
              <w:rPr>
                <w:rFonts w:hint="eastAsia" w:ascii="宋体" w:hAnsi="宋体" w:eastAsia="宋体" w:cs="宋体"/>
                <w:color w:val="auto"/>
                <w:kern w:val="0"/>
                <w:szCs w:val="21"/>
                <w:highlight w:val="none"/>
              </w:rPr>
            </w:pPr>
            <w:r>
              <w:rPr>
                <w:rFonts w:hint="eastAsia" w:ascii="宋体" w:hAnsi="宋体" w:eastAsia="宋体" w:cs="宋体"/>
                <w:b/>
                <w:bCs/>
                <w:color w:val="auto"/>
                <w:szCs w:val="21"/>
                <w:highlight w:val="none"/>
              </w:rPr>
              <w:t>重要提示</w:t>
            </w:r>
          </w:p>
        </w:tc>
        <w:tc>
          <w:tcPr>
            <w:tcW w:w="5433" w:type="dxa"/>
            <w:noWrap w:val="0"/>
            <w:vAlign w:val="center"/>
          </w:tcPr>
          <w:p w14:paraId="53D98A50">
            <w:pPr>
              <w:wordWrap w:val="0"/>
              <w:spacing w:line="240" w:lineRule="auto"/>
              <w:contextualSpacing/>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本次开标会议将采用视频会议形式进行。</w:t>
            </w:r>
          </w:p>
        </w:tc>
      </w:tr>
    </w:tbl>
    <w:p w14:paraId="53752849">
      <w:pPr>
        <w:pStyle w:val="5"/>
        <w:numPr>
          <w:numId w:val="0"/>
        </w:numPr>
        <w:spacing w:before="0" w:after="0" w:line="360" w:lineRule="auto"/>
        <w:ind w:left="-567" w:leftChars="0"/>
        <w:rPr>
          <w:rFonts w:hint="eastAsia" w:ascii="宋体" w:hAnsi="宋体" w:cs="宋体"/>
          <w:color w:val="auto"/>
          <w:szCs w:val="21"/>
          <w:highlight w:val="yellow"/>
        </w:rPr>
      </w:pPr>
      <w:r>
        <w:rPr>
          <w:rFonts w:hint="eastAsia" w:ascii="宋体" w:hAnsi="宋体" w:cs="宋体"/>
          <w:color w:val="auto"/>
          <w:szCs w:val="21"/>
          <w:highlight w:val="none"/>
        </w:rPr>
        <w:t>1. 总则</w:t>
      </w:r>
    </w:p>
    <w:p w14:paraId="477CF60C">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1.1 项目概况</w:t>
      </w:r>
    </w:p>
    <w:p w14:paraId="2B5DDD1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1.1.1根据《中华人民共和国招标投标法》等有关法律、法规和规章的规定，本招标项目已具备招标条件，现对该项目设计施工进行总承包招标。</w:t>
      </w:r>
    </w:p>
    <w:p w14:paraId="744DA38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1.1.2 招标人：见投标人须知前附表。</w:t>
      </w:r>
    </w:p>
    <w:p w14:paraId="1EBDB8F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1.1.3 招标代理机构：见投标人须知前附表。</w:t>
      </w:r>
    </w:p>
    <w:p w14:paraId="22B6649D">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1.1.4 招标项目名称：见投标人须知前附表。</w:t>
      </w:r>
    </w:p>
    <w:p w14:paraId="2F64317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1.1.5 项目建设地点：见投标人须知前附表。</w:t>
      </w:r>
    </w:p>
    <w:p w14:paraId="41DB960B">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1.2 项目的资金来源和落实情况</w:t>
      </w:r>
    </w:p>
    <w:p w14:paraId="74D49B23">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1.2.1 资金来源及比例：见投标人须知前附表。</w:t>
      </w:r>
    </w:p>
    <w:p w14:paraId="20C97BB9">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1.2.2 资金落实情况：见投标人须知前附表。</w:t>
      </w:r>
    </w:p>
    <w:p w14:paraId="40CF18E3">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1.3 招标范围、计划工期和质量标准</w:t>
      </w:r>
    </w:p>
    <w:p w14:paraId="6FE69AA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1.3.1 招标范围：见投标人须知前附表。</w:t>
      </w:r>
    </w:p>
    <w:p w14:paraId="3AF5344B">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1.3.2 计划工期：见投标人须知前附表。</w:t>
      </w:r>
    </w:p>
    <w:p w14:paraId="61CA3A3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1.3.3 质量标准：见投标人须知前附表。</w:t>
      </w:r>
    </w:p>
    <w:p w14:paraId="1EB0CDE6">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1.4 投标人资格要求</w:t>
      </w:r>
    </w:p>
    <w:p w14:paraId="74D0F01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1.4.1 投标人应具备承担本招标项目资质条件、能力和信誉：见投标人须知前附表。</w:t>
      </w:r>
    </w:p>
    <w:p w14:paraId="5E962437">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1.4.2 投标人须知前附表规定接受联合体投标的，除应符合本章1.4.1项和投标人须知前附表的要求外，还应遵守以下规定： </w:t>
      </w:r>
    </w:p>
    <w:p w14:paraId="285122A8">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（1）联合体各方应按招标文件提供的格式签订联合体协议书，明确联合体牵头人和各方权利义务；</w:t>
      </w:r>
    </w:p>
    <w:p w14:paraId="2712F07B">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（2）由同一专业的单位组成的联合体，按照资质等级较低的单位确定资质等级；</w:t>
      </w:r>
    </w:p>
    <w:p w14:paraId="7346C296">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（3）联合体各方不得再以自己名义单独或参加其他联合体在本招标项目中投标。</w:t>
      </w:r>
    </w:p>
    <w:p w14:paraId="1CFA2E99">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1.4.3 投标人不得存在下列情形之一：</w:t>
      </w:r>
    </w:p>
    <w:p w14:paraId="2BC8AF3C">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 xml:space="preserve">（1）为招标人不具有独立法人资格的附属机构（单位）； </w:t>
      </w:r>
    </w:p>
    <w:p w14:paraId="5BF27CE9">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（2）为本招标项目的监理单位；</w:t>
      </w:r>
    </w:p>
    <w:p w14:paraId="0ED853D2">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 xml:space="preserve">（3）为本招标项目的代建单位； </w:t>
      </w:r>
    </w:p>
    <w:p w14:paraId="3BCA0D42">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 xml:space="preserve">（4）为本招标项目提供招标代理服务的； </w:t>
      </w:r>
    </w:p>
    <w:p w14:paraId="48351D54">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（5）为本招标项目提供造价咨询服务的；</w:t>
      </w:r>
    </w:p>
    <w:p w14:paraId="10370371">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（6）为本招标项目提供项目管理服务的；</w:t>
      </w:r>
    </w:p>
    <w:p w14:paraId="748CEA76">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 xml:space="preserve">（7）被责令停业的； </w:t>
      </w:r>
    </w:p>
    <w:p w14:paraId="3C45C141">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 xml:space="preserve">（8）被暂停或取消投标资格的； </w:t>
      </w:r>
    </w:p>
    <w:p w14:paraId="74FCC559">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（9）财产被接管或冻结的；</w:t>
      </w:r>
    </w:p>
    <w:p w14:paraId="663F8CB9">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（10）在最近三年内有骗取中标或严重违约或重大工程质量问题的；</w:t>
      </w:r>
    </w:p>
    <w:p w14:paraId="419FABCE">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（11）与本招标项目的监理单位或代建单位或招标代理机构或造价咨询单位或项目管理单位同为一个法定代表人的；</w:t>
      </w:r>
    </w:p>
    <w:p w14:paraId="4C6F22DA">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（12）与本招标项目的监理单位或代建单位或招标代理机构或造价咨询单位或项目管理单位相互控股或参股的；</w:t>
      </w:r>
    </w:p>
    <w:p w14:paraId="6DB4D4FE">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（13）与本招标项目的监理单位或代建单位或招标代理机构或造价咨询单位或项目管理单位相互任职或工作的。</w:t>
      </w:r>
    </w:p>
    <w:p w14:paraId="47791C65">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（14）法律法规或投标人须知前附表规定的其他情形。</w:t>
      </w:r>
    </w:p>
    <w:p w14:paraId="6A374DA5">
      <w:pPr>
        <w:pStyle w:val="103"/>
        <w:ind w:firstLine="420"/>
        <w:rPr>
          <w:rFonts w:hint="eastAsia" w:ascii="宋体" w:hAnsi="宋体" w:eastAsia="宋体" w:cs="宋体"/>
          <w:color w:val="auto"/>
          <w:highlight w:val="none"/>
        </w:rPr>
      </w:pPr>
      <w:r>
        <w:rPr>
          <w:rFonts w:hint="eastAsia" w:ascii="宋体" w:hAnsi="宋体" w:eastAsia="宋体" w:cs="宋体"/>
          <w:color w:val="auto"/>
          <w:szCs w:val="21"/>
          <w:highlight w:val="none"/>
        </w:rPr>
        <w:t>1.4.4单位负责人为同一人或者存在控股、管理关系的不同单位，不得同时参加本招标项目投标。</w:t>
      </w:r>
    </w:p>
    <w:p w14:paraId="171B9724">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1.5 费用承担和设计成果补偿</w:t>
      </w:r>
    </w:p>
    <w:p w14:paraId="35E652D2">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1.5.1 投标人准备和参加投标活动发生的费用自理。</w:t>
      </w:r>
    </w:p>
    <w:p w14:paraId="43171ED5">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1.5.2 招标人对符合招标文件规定的未中标人的设计成果进行补偿的，按投标人须知前附表规定给予补偿，并有权免费使用未中标人设计成果。</w:t>
      </w:r>
    </w:p>
    <w:p w14:paraId="2F2436F7">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1.6 保密</w:t>
      </w:r>
    </w:p>
    <w:p w14:paraId="7EF3D106">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参与招标投标活动的各方应对招标文件和投标文件中的商业和技术等秘密保密，否则应承担相应的法律责任。 </w:t>
      </w:r>
    </w:p>
    <w:p w14:paraId="4D9B9CB8">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1.7 语言文字</w:t>
      </w:r>
    </w:p>
    <w:p w14:paraId="5799D3B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招标投标文件使用的语言文字为中文。专用术语使用外文的，应附有中文注释。</w:t>
      </w:r>
    </w:p>
    <w:p w14:paraId="2591E28C">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1.8 计量单位</w:t>
      </w:r>
    </w:p>
    <w:p w14:paraId="523B0669">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所有计量均采用中华人民共和国法定计量单位。</w:t>
      </w:r>
    </w:p>
    <w:p w14:paraId="1317767B">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1.9 踏勘现场</w:t>
      </w:r>
    </w:p>
    <w:p w14:paraId="47FB0F7D">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1.9.1 投标人须知前附表规定组织踏勘现场的，招标人按投标人须知前附表规定的时间、地点组织投标人踏勘项目现场。 </w:t>
      </w:r>
    </w:p>
    <w:p w14:paraId="02F6A0D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1.9.2 投标人踏勘现场发生的费用自理。</w:t>
      </w:r>
    </w:p>
    <w:p w14:paraId="78E100C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1.9.3 除招标人的原因外，投标人自行负责在踏勘现场中所发生的人员伤亡和财产损失。</w:t>
      </w:r>
    </w:p>
    <w:p w14:paraId="621BFB95">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1.9.4 招标人在踏勘现场中介绍的工程场地和相关的周边环境情况，供投标人在编制投标文件时参考，招标人不对投标人据此作出的判断和决策负责。</w:t>
      </w:r>
    </w:p>
    <w:p w14:paraId="1AF51D3E">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1.10 投标预备会</w:t>
      </w:r>
    </w:p>
    <w:p w14:paraId="0C29BD5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1.10.1 投标人须知前附表规定召开投标预备会的，招标人按投标人须知前附表规定的时间和地点召开投标预备会，澄清投标人提出的问题。</w:t>
      </w:r>
    </w:p>
    <w:p w14:paraId="324CE3A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1.10.2 投标人应在投标人须知前附表规定的时间前，以书面形式将提出的问题送达招标人，以便招标人在会议期间澄清。</w:t>
      </w:r>
    </w:p>
    <w:p w14:paraId="5AC5350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1.10.3 投标预备会后，招标人在投标人须知前附表规定的时间内，将对投标人所提问题的澄清，以书面形式通知所有下载招标文件的投标人。该澄清内容为招标文件的组成部分。</w:t>
      </w:r>
    </w:p>
    <w:p w14:paraId="2A99EEE5">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1.11 分包</w:t>
      </w:r>
    </w:p>
    <w:p w14:paraId="60911CE6">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1.11.1 投标人须知前附表规定应当由分包人实施的非主体、非关键性工作，投标人应当按照第五章“发包人要求”的规定提供分包人侯选名单及其相应资料。</w:t>
      </w:r>
    </w:p>
    <w:p w14:paraId="165C671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1.11.2 投标人拟在中标后将中标项目的部分非主体、非关键性工作进行分包的，应符合投标人须知前附表规定的分包内容、分包金额和资质要求等限制性条件。</w:t>
      </w:r>
    </w:p>
    <w:p w14:paraId="7A3F4B31">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1.12 偏离</w:t>
      </w:r>
    </w:p>
    <w:p w14:paraId="37D0BA8B">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投标人须知前附表允许投标文件偏离招标文件某些要求的，偏离应当符合招标文件规定的偏离范围和幅度。</w:t>
      </w:r>
    </w:p>
    <w:p w14:paraId="30D2B03B">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2. 招标文件</w:t>
      </w:r>
    </w:p>
    <w:p w14:paraId="3736672F">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2.1 招标文件的组成</w:t>
      </w:r>
    </w:p>
    <w:p w14:paraId="651D7064">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本招标文件包括：</w:t>
      </w:r>
    </w:p>
    <w:p w14:paraId="0060B05B">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（1）招标公告；</w:t>
      </w:r>
    </w:p>
    <w:p w14:paraId="3CD11697">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（2）投标人须知；</w:t>
      </w:r>
    </w:p>
    <w:p w14:paraId="0CE9E578">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（3）评标办法；</w:t>
      </w:r>
    </w:p>
    <w:p w14:paraId="28A3BEED">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（4）合同条款及格式；</w:t>
      </w:r>
    </w:p>
    <w:p w14:paraId="5B2F615E">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（5）发包人要求；</w:t>
      </w:r>
    </w:p>
    <w:p w14:paraId="1627B949">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（6）发包人提供的资料和条件；</w:t>
      </w:r>
    </w:p>
    <w:p w14:paraId="7DED3365">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（7）投标文件格式；</w:t>
      </w:r>
    </w:p>
    <w:p w14:paraId="60E447A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根据本章第1.10款、第2.2款和第2.3款对招标文件所作的澄清、修改，构成招标文件的组成部分。</w:t>
      </w:r>
    </w:p>
    <w:p w14:paraId="5E8E5CD7">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2.2 招标文件的澄清</w:t>
      </w:r>
    </w:p>
    <w:p w14:paraId="18F55701">
      <w:pPr>
        <w:wordWrap w:val="0"/>
        <w:ind w:firstLine="480" w:firstLineChars="200"/>
        <w:jc w:val="left"/>
        <w:rPr>
          <w:rFonts w:hint="eastAsia" w:ascii="宋体" w:hAnsi="宋体" w:cs="宋体"/>
          <w:color w:val="auto"/>
          <w:szCs w:val="21"/>
          <w:highlight w:val="none"/>
        </w:rPr>
      </w:pPr>
      <w:r>
        <w:rPr>
          <w:rFonts w:hint="eastAsia" w:ascii="宋体" w:hAnsi="宋体" w:cs="宋体"/>
          <w:color w:val="auto"/>
          <w:szCs w:val="21"/>
          <w:highlight w:val="none"/>
        </w:rPr>
        <w:t>2.2.1投标人应仔细阅读和检查招标文件的全部内容。如发现缺页或附件不全，应及时向招标人提出，以便补齐。如有疑问，应在投标截止时间前15日登录中国节能环保集团电子采购平台（网址：www.ebidding.cecep.cn/TPBidder/）通过在线方式进行提问，逾期提问的，招标人有权拒绝回复其澄清问题，投标人按招标文件要求编制投标文件。</w:t>
      </w:r>
    </w:p>
    <w:p w14:paraId="78DCEB4B">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2.2.2 招标文件的澄清将在投标人须知前附表规定的投标截止时间15天前通过中国节能环保集团有限公司电子采购平台（网址：www.ebidding.cecep.cn/TPBidder/）发给所有下载招标文件的投标人，但不指明澄清问题的来源。如果澄清发出的时间距投标截止时间不足15天，并且澄清内容影响投标文件编制的，将相应延长投标截止时间。</w:t>
      </w:r>
    </w:p>
    <w:p w14:paraId="6CA57E13">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2.2.3 投标人应在投标截止时间前及时自行登录中国节能环保集团电子采购平台（网址：www.ebidding.cecep.cn/TPBidder/）中查看有关该招标文件的澄清公告及澄清文件（即更新后的完整版招标文件），无须回复确认已收到该澄清。</w:t>
      </w:r>
    </w:p>
    <w:p w14:paraId="74D9201B">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2.3 招标文件的修改</w:t>
      </w:r>
    </w:p>
    <w:p w14:paraId="7D2B3E5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2.3.1 招标人可以修改招标文件，并通知所有下载招标文件的投标人。修改招标文件的时间距投标人须知前附表规定的投标截止时间不足15天的，并且澄清内容影响投标文件编制的，将相应延长投标截止时间。 </w:t>
      </w:r>
    </w:p>
    <w:p w14:paraId="38F7D762">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2.3.2 投标人应在投标截止时间前及时自行登录中国节能环保集团电子采购平台（网址：www.ebidding.cecep.cn/TPBidder/）中查看有关该招标文件的修改（即更新后的完整版招标文件），无须回复确认已收到该修改。</w:t>
      </w:r>
    </w:p>
    <w:p w14:paraId="4F1878C4">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3. 投标文件</w:t>
      </w:r>
    </w:p>
    <w:p w14:paraId="168E870F">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3.1 投标文件的组成：详见招标文件第七章投标文件格式。</w:t>
      </w:r>
    </w:p>
    <w:p w14:paraId="280421B3">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 xml:space="preserve">3.2 投标报价 </w:t>
      </w:r>
    </w:p>
    <w:p w14:paraId="6FBFD49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3.2.1 投标人应按招标文件第七章“投标文件格式”的要求填写价格清单。</w:t>
      </w:r>
    </w:p>
    <w:p w14:paraId="3FFD67BB">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3.2.2 投标人应充分了解施工场地的位置、周边环境、道路、装卸、保管、安装限制以及影响投标报价的其他要素。投标人根据投标设计，结合市场情况进行投标报价。</w:t>
      </w:r>
    </w:p>
    <w:p w14:paraId="19B7D430">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3.2.3 投标人在投标截止时间前修改投标函中的投标报价总额，应同时修改投标文件“价格清单”中的相应报价，投标报价总额为各分项金额之和。此修改须符合本章第4.3款的有关要求。</w:t>
      </w:r>
    </w:p>
    <w:p w14:paraId="4D1D61C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3.2.4 招标人设有最高投标限价的，投标人的投标报价不得超过最高投标限价，最高投标限价或其计算方法在投标人须知前附表中载明。</w:t>
      </w:r>
    </w:p>
    <w:p w14:paraId="79A72A7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3.2.5 投标报价的其他要求见投标人须知前附表。</w:t>
      </w:r>
    </w:p>
    <w:p w14:paraId="6DDFFFB8">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3.3 投标有效期</w:t>
      </w:r>
    </w:p>
    <w:p w14:paraId="5A7DEDE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3.3.1 除投标人须知前附表另有规定外，投标有效期为180天。</w:t>
      </w:r>
    </w:p>
    <w:p w14:paraId="6F82295A">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3.3.2 在投标有效期内，投标人撤销或修改其投标文件的，应承担招标文件和法律规定的责任。</w:t>
      </w:r>
    </w:p>
    <w:p w14:paraId="0C1D157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3.3.3 出现特殊情况需要延长投标有效期的，招标人以书面形式通知所有投标人延长投标有效期。投标人同意延长的，应相应延长其投标保证金的有效期，但不得要求或被允许修改或撤销其投标文件；投标人拒绝延长的，其投标失效，但投标人有权</w:t>
      </w:r>
      <w:r>
        <w:rPr>
          <w:rFonts w:hint="eastAsia" w:ascii="宋体" w:hAnsi="宋体" w:cs="宋体"/>
          <w:color w:val="auto"/>
          <w:szCs w:val="21"/>
          <w:highlight w:val="none"/>
          <w:lang w:eastAsia="zh-CN"/>
        </w:rPr>
        <w:t>按规定</w:t>
      </w:r>
      <w:r>
        <w:rPr>
          <w:rFonts w:hint="eastAsia" w:ascii="宋体" w:hAnsi="宋体" w:cs="宋体"/>
          <w:color w:val="auto"/>
          <w:szCs w:val="21"/>
          <w:highlight w:val="none"/>
        </w:rPr>
        <w:t xml:space="preserve">收回其投标保证金。 </w:t>
      </w:r>
    </w:p>
    <w:p w14:paraId="4F22718B">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3.4 投标保证金</w:t>
      </w:r>
    </w:p>
    <w:p w14:paraId="1499D3A0">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3.4.1 投标人在递交投标文件的同时，应按投标人须知前附表规定的金额、担保形式和第七章“投标文件格式”规定的投标保证金格式递交投标保证金，并作为其投标文件的组成部分。联合体投标的，其投标保证金由牵头人递交，并应符合投标人须知前附表的规定。</w:t>
      </w:r>
    </w:p>
    <w:p w14:paraId="55661647">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3.4.2 投标人不按本章第3.4.1项要求提交投标保证金的，评标委员会将否决其投标。</w:t>
      </w:r>
    </w:p>
    <w:p w14:paraId="217EAEE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3.4.3 招标人与中标人签订合同后5日内，向未中标的投标人和中标人</w:t>
      </w:r>
      <w:r>
        <w:rPr>
          <w:rFonts w:hint="eastAsia" w:ascii="宋体" w:hAnsi="宋体" w:cs="宋体"/>
          <w:color w:val="auto"/>
          <w:szCs w:val="21"/>
          <w:highlight w:val="none"/>
          <w:lang w:eastAsia="zh-CN"/>
        </w:rPr>
        <w:t>按规定</w:t>
      </w:r>
      <w:r>
        <w:rPr>
          <w:rFonts w:hint="eastAsia" w:ascii="宋体" w:hAnsi="宋体" w:cs="宋体"/>
          <w:color w:val="auto"/>
          <w:szCs w:val="21"/>
          <w:highlight w:val="none"/>
        </w:rPr>
        <w:t>退还投标保证金。</w:t>
      </w:r>
    </w:p>
    <w:p w14:paraId="5121D5F2">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3.4.4 有下列情形之一的，投标保证金将不予退还： </w:t>
      </w:r>
    </w:p>
    <w:p w14:paraId="08AB4619">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（1）投标人在规定的投标有效期内撤销或修改其投标文件；</w:t>
      </w:r>
    </w:p>
    <w:p w14:paraId="2B61D649">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（2）中标人在收到中标通知书后，无正当理由拒签合同或未按招标文件规定提交履约担保。</w:t>
      </w:r>
    </w:p>
    <w:p w14:paraId="2F86C97F">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3.5  资格审查资料</w:t>
      </w:r>
    </w:p>
    <w:p w14:paraId="11533687">
      <w:pPr>
        <w:wordWrap w:val="0"/>
        <w:ind w:firstLine="480" w:firstLineChars="200"/>
        <w:contextualSpacing/>
        <w:rPr>
          <w:rFonts w:hint="eastAsia" w:ascii="宋体" w:hAnsi="宋体" w:cs="宋体"/>
          <w:bCs/>
          <w:color w:val="auto"/>
          <w:szCs w:val="21"/>
          <w:highlight w:val="none"/>
        </w:rPr>
      </w:pPr>
      <w:r>
        <w:rPr>
          <w:rFonts w:hint="eastAsia" w:ascii="宋体" w:hAnsi="宋体" w:cs="宋体"/>
          <w:color w:val="auto"/>
          <w:szCs w:val="21"/>
          <w:highlight w:val="none"/>
        </w:rPr>
        <w:t>3.5.1 “投标人（包括联合体各方）基本情况表”</w:t>
      </w:r>
      <w:r>
        <w:rPr>
          <w:rFonts w:hint="eastAsia" w:ascii="宋体" w:hAnsi="宋体" w:cs="宋体"/>
          <w:bCs/>
          <w:color w:val="auto"/>
          <w:szCs w:val="21"/>
          <w:highlight w:val="none"/>
        </w:rPr>
        <w:t>应附材料详见第七章投标文件格式具体要求。</w:t>
      </w:r>
    </w:p>
    <w:p w14:paraId="136151B7">
      <w:pPr>
        <w:wordWrap w:val="0"/>
        <w:ind w:firstLine="480" w:firstLineChars="200"/>
        <w:contextualSpacing/>
        <w:rPr>
          <w:rFonts w:hint="eastAsia" w:ascii="宋体" w:hAnsi="宋体" w:cs="宋体"/>
          <w:bCs/>
          <w:color w:val="auto"/>
          <w:szCs w:val="21"/>
          <w:highlight w:val="none"/>
        </w:rPr>
      </w:pPr>
      <w:r>
        <w:rPr>
          <w:rFonts w:hint="eastAsia" w:ascii="宋体" w:hAnsi="宋体" w:cs="宋体"/>
          <w:color w:val="auto"/>
          <w:szCs w:val="21"/>
          <w:highlight w:val="none"/>
        </w:rPr>
        <w:t>3.5.2 “近年财务状况”</w:t>
      </w:r>
      <w:r>
        <w:rPr>
          <w:rFonts w:hint="eastAsia" w:ascii="宋体" w:hAnsi="宋体" w:cs="宋体"/>
          <w:bCs/>
          <w:color w:val="auto"/>
          <w:szCs w:val="21"/>
          <w:highlight w:val="none"/>
        </w:rPr>
        <w:t>应附材料详见第七章投标文件格式具体要求。</w:t>
      </w:r>
    </w:p>
    <w:p w14:paraId="088733D9">
      <w:pPr>
        <w:wordWrap w:val="0"/>
        <w:ind w:firstLine="480" w:firstLineChars="200"/>
        <w:contextualSpacing/>
        <w:rPr>
          <w:rFonts w:hint="eastAsia" w:ascii="宋体" w:hAnsi="宋体" w:cs="宋体"/>
          <w:bCs/>
          <w:color w:val="auto"/>
          <w:szCs w:val="21"/>
          <w:highlight w:val="none"/>
        </w:rPr>
      </w:pPr>
      <w:r>
        <w:rPr>
          <w:rFonts w:hint="eastAsia" w:ascii="宋体" w:hAnsi="宋体" w:cs="宋体"/>
          <w:color w:val="auto"/>
          <w:szCs w:val="21"/>
          <w:highlight w:val="none"/>
        </w:rPr>
        <w:t>3.5.3 “业绩统计表”、“业绩情况表”</w:t>
      </w:r>
      <w:r>
        <w:rPr>
          <w:rFonts w:hint="eastAsia" w:ascii="宋体" w:hAnsi="宋体" w:cs="宋体"/>
          <w:bCs/>
          <w:color w:val="auto"/>
          <w:szCs w:val="21"/>
          <w:highlight w:val="none"/>
        </w:rPr>
        <w:t>应附材料详见第七章投标文件格式具体要求。</w:t>
      </w:r>
    </w:p>
    <w:p w14:paraId="133193F7">
      <w:pPr>
        <w:wordWrap w:val="0"/>
        <w:ind w:firstLine="480" w:firstLineChars="200"/>
        <w:contextualSpacing/>
        <w:rPr>
          <w:rFonts w:hint="eastAsia" w:ascii="宋体" w:hAnsi="宋体" w:cs="宋体"/>
          <w:bCs/>
          <w:color w:val="auto"/>
          <w:szCs w:val="21"/>
          <w:highlight w:val="none"/>
        </w:rPr>
      </w:pPr>
      <w:r>
        <w:rPr>
          <w:rFonts w:hint="eastAsia" w:ascii="宋体" w:hAnsi="宋体" w:cs="宋体"/>
          <w:bCs/>
          <w:color w:val="auto"/>
          <w:szCs w:val="21"/>
          <w:highlight w:val="none"/>
        </w:rPr>
        <w:t>3.5.4“投标人信誉”应附材料详见第七章投标文件格式具体要求。</w:t>
      </w:r>
    </w:p>
    <w:p w14:paraId="47EA7682">
      <w:pPr>
        <w:wordWrap w:val="0"/>
        <w:ind w:firstLine="480" w:firstLineChars="200"/>
        <w:contextualSpacing/>
        <w:rPr>
          <w:rFonts w:hint="eastAsia" w:ascii="宋体" w:hAnsi="宋体" w:cs="宋体"/>
          <w:bCs/>
          <w:color w:val="auto"/>
          <w:szCs w:val="21"/>
          <w:highlight w:val="none"/>
        </w:rPr>
      </w:pPr>
      <w:r>
        <w:rPr>
          <w:rFonts w:hint="eastAsia" w:ascii="宋体" w:hAnsi="宋体" w:cs="宋体"/>
          <w:bCs/>
          <w:color w:val="auto"/>
          <w:szCs w:val="21"/>
          <w:highlight w:val="none"/>
        </w:rPr>
        <w:t>3.5.5“项目管理机构组成表”应附材料详见第七章投标文件格式具体要求。</w:t>
      </w:r>
    </w:p>
    <w:p w14:paraId="0D20CA0E">
      <w:pPr>
        <w:wordWrap w:val="0"/>
        <w:ind w:firstLine="420"/>
        <w:contextualSpacing/>
        <w:rPr>
          <w:rFonts w:hint="eastAsia" w:ascii="宋体" w:hAnsi="宋体" w:cs="宋体"/>
          <w:bCs/>
          <w:color w:val="auto"/>
          <w:szCs w:val="21"/>
          <w:highlight w:val="none"/>
        </w:rPr>
      </w:pPr>
      <w:r>
        <w:rPr>
          <w:rFonts w:hint="eastAsia" w:ascii="宋体" w:hAnsi="宋体" w:cs="宋体"/>
          <w:bCs/>
          <w:color w:val="auto"/>
          <w:szCs w:val="21"/>
          <w:highlight w:val="none"/>
        </w:rPr>
        <w:t>3.5.6“主要人员简历表”应附材料详见第七章投标文件格式具体要求。</w:t>
      </w:r>
    </w:p>
    <w:p w14:paraId="5A490FE7">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3.5.7投标人须知前附表规定接受联合体投标的，本章第3.5.1项至第3.5.6项规定的表格和资料应包括联合体各方相关情况。</w:t>
      </w:r>
    </w:p>
    <w:p w14:paraId="6CBEEABC">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3.6 备选投标人方案</w:t>
      </w:r>
    </w:p>
    <w:p w14:paraId="304E7093">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除投标人须知前附表另有规定外，投标人不得递交备选投标人方案。允许投标人递交备选投标人方案的，只有中标人所递交的备选投标人方案方可予以考虑。评标委员会认为中标人的备选投标人方案优于其按照招标文件要求编制的投标人方案的，招标人可以接受该备选投标人方案。</w:t>
      </w:r>
    </w:p>
    <w:p w14:paraId="3A7D03A8">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3.7 投标文件的编制</w:t>
      </w:r>
    </w:p>
    <w:p w14:paraId="6A0EE3EA">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3.7.1投标文件应按第七章“投标文件格式”进行编写，如有必要，可以增加附页，作为投标文件的组成部分。其中，投标函附录在满足招标文件实质性要求的基础上，可以提出比招标文件要求更有利于招标人的承诺。</w:t>
      </w:r>
    </w:p>
    <w:p w14:paraId="36B23A9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3.7.2投标文件应当对招标文件有关招标范围、投标有效期、工期、质量标准、发包人要求等实质性内容作出响应。</w:t>
      </w:r>
    </w:p>
    <w:p w14:paraId="7DA3CA96">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4. 投标</w:t>
      </w:r>
    </w:p>
    <w:p w14:paraId="510CEFE0">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4.1 电子投标文件及备用投标文件的上传、加密要求见招标文件第二章投标人须知中“投标人须知前附表”相关规定。</w:t>
      </w:r>
    </w:p>
    <w:p w14:paraId="33E84D4D">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4.2 投标文件的递交</w:t>
      </w:r>
    </w:p>
    <w:p w14:paraId="2479847B">
      <w:pPr>
        <w:wordWrap w:val="0"/>
        <w:ind w:firstLine="480" w:firstLineChars="200"/>
        <w:contextualSpacing/>
        <w:rPr>
          <w:rFonts w:hint="eastAsia" w:ascii="宋体" w:hAnsi="宋体" w:cs="宋体"/>
          <w:bCs/>
          <w:color w:val="auto"/>
          <w:szCs w:val="21"/>
          <w:highlight w:val="none"/>
        </w:rPr>
      </w:pPr>
      <w:r>
        <w:rPr>
          <w:rFonts w:hint="eastAsia" w:ascii="宋体" w:hAnsi="宋体" w:cs="宋体"/>
          <w:color w:val="auto"/>
          <w:szCs w:val="21"/>
          <w:highlight w:val="none"/>
        </w:rPr>
        <w:t xml:space="preserve">4.2.1 </w:t>
      </w:r>
      <w:r>
        <w:rPr>
          <w:rFonts w:hint="eastAsia" w:ascii="宋体" w:hAnsi="宋体" w:cs="宋体"/>
          <w:bCs/>
          <w:color w:val="auto"/>
          <w:szCs w:val="21"/>
          <w:highlight w:val="none"/>
        </w:rPr>
        <w:t>投标人应在投标人须知前附表规定的投标截止时间前递交投标文件。</w:t>
      </w:r>
    </w:p>
    <w:p w14:paraId="354BFA4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4.2.2 投标人递交投标文件的地点：见投标人须知前附表。</w:t>
      </w:r>
    </w:p>
    <w:p w14:paraId="3E756C9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4.2.3 除投标人须知前附表另有规定外，投标人所递交的投标文件不予退还。</w:t>
      </w:r>
    </w:p>
    <w:p w14:paraId="7576F51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4.2.4 逾期送达的或者未送达指定地点的投标文件，招标人不予受理。</w:t>
      </w:r>
    </w:p>
    <w:p w14:paraId="13304C18">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4.3 投标文件的修改与撤回</w:t>
      </w:r>
    </w:p>
    <w:p w14:paraId="0E5BB23B">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4.3.1在本章第2.2.2项规定的投标截止时间前，投标人可以修改或撤回已递交的投标文件，但应以书面形式通知招标人。</w:t>
      </w:r>
    </w:p>
    <w:p w14:paraId="6D2F175D">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4.3.2投标人修改或撤回已递交投标文件的书面通知应按照本章第3.7.3项的要求签字或盖章。招标人收到书面通知后，向投标人出具签收凭证。</w:t>
      </w:r>
    </w:p>
    <w:p w14:paraId="151D036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4.3.3投标人撤回投标文件的，招标人自收到投标人书面撤回通知之日起5日内</w:t>
      </w:r>
      <w:r>
        <w:rPr>
          <w:rFonts w:hint="eastAsia" w:ascii="宋体" w:hAnsi="宋体" w:cs="宋体"/>
          <w:color w:val="auto"/>
          <w:szCs w:val="21"/>
          <w:highlight w:val="none"/>
          <w:lang w:eastAsia="zh-CN"/>
        </w:rPr>
        <w:t>按规定</w:t>
      </w:r>
      <w:r>
        <w:rPr>
          <w:rFonts w:hint="eastAsia" w:ascii="宋体" w:hAnsi="宋体" w:cs="宋体"/>
          <w:color w:val="auto"/>
          <w:szCs w:val="21"/>
          <w:highlight w:val="none"/>
        </w:rPr>
        <w:t>退还已收取的投标保证金。</w:t>
      </w:r>
    </w:p>
    <w:p w14:paraId="228FC26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4.3.4修改的内容为投标文件的组成部分。修改的投标文件应按照本章第3条、第4条规定进行编制、密封、标记和递交，并标明“修改”字样。</w:t>
      </w:r>
    </w:p>
    <w:p w14:paraId="3678A1BC">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5. 开标</w:t>
      </w:r>
    </w:p>
    <w:p w14:paraId="463DD9DE">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5.1 开标时间和地点</w:t>
      </w:r>
    </w:p>
    <w:p w14:paraId="270566D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招标人在本章第2.2.2项规定的投标截止时间（开标时间）和投标人须知前附表规定的地点公开开标，并邀请所有投标人的法定代表人或其委托代理人准时线上参加。</w:t>
      </w:r>
    </w:p>
    <w:p w14:paraId="4D889AB8">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5.2 开标程序</w:t>
      </w:r>
    </w:p>
    <w:p w14:paraId="14FC6A53">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主持人按下列程序进行开标：</w:t>
      </w:r>
    </w:p>
    <w:p w14:paraId="6105795C">
      <w:pPr>
        <w:widowControl/>
        <w:wordWrap w:val="0"/>
        <w:ind w:firstLine="480" w:firstLineChars="200"/>
        <w:contextualSpacing/>
        <w:jc w:val="left"/>
        <w:rPr>
          <w:rFonts w:hint="eastAsia" w:ascii="宋体" w:hAnsi="宋体" w:cs="宋体"/>
          <w:bCs/>
          <w:color w:val="auto"/>
          <w:kern w:val="0"/>
          <w:szCs w:val="21"/>
          <w:highlight w:val="none"/>
        </w:rPr>
      </w:pPr>
      <w:r>
        <w:rPr>
          <w:rFonts w:hint="eastAsia" w:ascii="宋体" w:hAnsi="宋体" w:cs="宋体"/>
          <w:bCs/>
          <w:color w:val="auto"/>
          <w:kern w:val="0"/>
          <w:szCs w:val="21"/>
          <w:highlight w:val="none"/>
        </w:rPr>
        <w:t>（1）公布在投标截止时间前递交投标文件的投标人名称；</w:t>
      </w:r>
    </w:p>
    <w:p w14:paraId="0F1E7350">
      <w:pPr>
        <w:widowControl/>
        <w:wordWrap w:val="0"/>
        <w:ind w:firstLine="480" w:firstLineChars="200"/>
        <w:contextualSpacing/>
        <w:jc w:val="left"/>
        <w:rPr>
          <w:rFonts w:hint="eastAsia" w:ascii="宋体" w:hAnsi="宋体" w:cs="宋体"/>
          <w:bCs/>
          <w:color w:val="auto"/>
          <w:kern w:val="0"/>
          <w:szCs w:val="21"/>
          <w:highlight w:val="none"/>
        </w:rPr>
      </w:pPr>
      <w:r>
        <w:rPr>
          <w:rFonts w:hint="eastAsia" w:ascii="宋体" w:hAnsi="宋体" w:cs="宋体"/>
          <w:bCs/>
          <w:color w:val="auto"/>
          <w:kern w:val="0"/>
          <w:szCs w:val="21"/>
          <w:highlight w:val="none"/>
        </w:rPr>
        <w:t>（2）由投标人在电子采购平台中解密投标文件；</w:t>
      </w:r>
    </w:p>
    <w:p w14:paraId="52F9A769">
      <w:pPr>
        <w:widowControl/>
        <w:wordWrap w:val="0"/>
        <w:ind w:firstLine="480" w:firstLineChars="200"/>
        <w:contextualSpacing/>
        <w:jc w:val="left"/>
        <w:rPr>
          <w:rFonts w:hint="eastAsia" w:ascii="宋体" w:hAnsi="宋体" w:cs="宋体"/>
          <w:bCs/>
          <w:color w:val="auto"/>
          <w:kern w:val="0"/>
          <w:szCs w:val="21"/>
          <w:highlight w:val="none"/>
        </w:rPr>
      </w:pPr>
      <w:r>
        <w:rPr>
          <w:rFonts w:hint="eastAsia" w:ascii="宋体" w:hAnsi="宋体" w:cs="宋体"/>
          <w:bCs/>
          <w:color w:val="auto"/>
          <w:kern w:val="0"/>
          <w:szCs w:val="21"/>
          <w:highlight w:val="none"/>
        </w:rPr>
        <w:t>（3）公布投标报价等内容；</w:t>
      </w:r>
    </w:p>
    <w:p w14:paraId="3B5A6EC2">
      <w:pPr>
        <w:widowControl/>
        <w:wordWrap w:val="0"/>
        <w:ind w:firstLine="480" w:firstLineChars="200"/>
        <w:contextualSpacing/>
        <w:jc w:val="left"/>
        <w:rPr>
          <w:rFonts w:hint="eastAsia" w:ascii="宋体" w:hAnsi="宋体" w:cs="宋体"/>
          <w:bCs/>
          <w:color w:val="auto"/>
          <w:kern w:val="0"/>
          <w:szCs w:val="21"/>
          <w:highlight w:val="none"/>
        </w:rPr>
      </w:pPr>
      <w:r>
        <w:rPr>
          <w:rFonts w:hint="eastAsia" w:ascii="宋体" w:hAnsi="宋体" w:cs="宋体"/>
          <w:bCs/>
          <w:color w:val="auto"/>
          <w:kern w:val="0"/>
          <w:szCs w:val="21"/>
          <w:highlight w:val="none"/>
        </w:rPr>
        <w:t>（4）由投标人代表在电子采购平台中确认唱标内容；</w:t>
      </w:r>
    </w:p>
    <w:p w14:paraId="3E054502">
      <w:pPr>
        <w:widowControl/>
        <w:wordWrap w:val="0"/>
        <w:ind w:firstLine="480" w:firstLineChars="200"/>
        <w:contextualSpacing/>
        <w:jc w:val="left"/>
        <w:rPr>
          <w:rFonts w:hint="eastAsia" w:ascii="宋体" w:hAnsi="宋体" w:cs="宋体"/>
          <w:bCs/>
          <w:color w:val="auto"/>
          <w:kern w:val="0"/>
          <w:szCs w:val="21"/>
          <w:highlight w:val="none"/>
        </w:rPr>
      </w:pPr>
      <w:r>
        <w:rPr>
          <w:rFonts w:hint="eastAsia" w:ascii="宋体" w:hAnsi="宋体" w:cs="宋体"/>
          <w:bCs/>
          <w:color w:val="auto"/>
          <w:kern w:val="0"/>
          <w:szCs w:val="21"/>
          <w:highlight w:val="none"/>
        </w:rPr>
        <w:t>（5）开标结束。</w:t>
      </w:r>
    </w:p>
    <w:p w14:paraId="104780FA">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5.3 开标异议</w:t>
      </w:r>
    </w:p>
    <w:p w14:paraId="524592F4">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投标人对开标有异议的，应当在开标现场提出，并制作记录。</w:t>
      </w:r>
    </w:p>
    <w:p w14:paraId="40BFE579">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6. 评标</w:t>
      </w:r>
    </w:p>
    <w:p w14:paraId="6A752EED">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6.1 评标委员会</w:t>
      </w:r>
    </w:p>
    <w:p w14:paraId="75778E9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6.1.1评标由招标人依法组建的评标委员会负责。评标委员会由招标人或其委托的招标代理机构熟悉相关业务的代表，以及有关技术、经济等方面的专家组成。评标委员会成员人数以及技术、经济等方面专家的确定方式见投标人须知前附表。</w:t>
      </w:r>
    </w:p>
    <w:p w14:paraId="4E4783F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6.1.2 评标委员会成员有下列情形之一的，应当回避：</w:t>
      </w:r>
    </w:p>
    <w:p w14:paraId="6E09B7DA">
      <w:pPr>
        <w:ind w:firstLine="820" w:firstLineChars="342"/>
        <w:rPr>
          <w:rFonts w:hint="eastAsia" w:ascii="宋体" w:hAnsi="宋体" w:cs="宋体"/>
          <w:color w:val="auto"/>
          <w:szCs w:val="21"/>
          <w:highlight w:val="none"/>
        </w:rPr>
      </w:pPr>
      <w:r>
        <w:rPr>
          <w:rFonts w:hint="eastAsia" w:ascii="宋体" w:hAnsi="宋体" w:cs="宋体"/>
          <w:color w:val="auto"/>
          <w:szCs w:val="21"/>
          <w:highlight w:val="none"/>
        </w:rPr>
        <w:t>（1）投标人或投标人主要负责人的近亲属；</w:t>
      </w:r>
    </w:p>
    <w:p w14:paraId="53ED1180">
      <w:pPr>
        <w:ind w:firstLine="820" w:firstLineChars="342"/>
        <w:rPr>
          <w:rFonts w:hint="eastAsia" w:ascii="宋体" w:hAnsi="宋体" w:cs="宋体"/>
          <w:color w:val="auto"/>
          <w:szCs w:val="21"/>
          <w:highlight w:val="none"/>
        </w:rPr>
      </w:pPr>
      <w:r>
        <w:rPr>
          <w:rFonts w:hint="eastAsia" w:ascii="宋体" w:hAnsi="宋体" w:cs="宋体"/>
          <w:color w:val="auto"/>
          <w:szCs w:val="21"/>
          <w:highlight w:val="none"/>
        </w:rPr>
        <w:t>（2）项目主管部门或者行政监督部门的人员；</w:t>
      </w:r>
    </w:p>
    <w:p w14:paraId="03CB38FB">
      <w:pPr>
        <w:ind w:firstLine="820" w:firstLineChars="342"/>
        <w:rPr>
          <w:rFonts w:hint="eastAsia" w:ascii="宋体" w:hAnsi="宋体" w:cs="宋体"/>
          <w:color w:val="auto"/>
          <w:szCs w:val="21"/>
          <w:highlight w:val="none"/>
        </w:rPr>
      </w:pPr>
      <w:r>
        <w:rPr>
          <w:rFonts w:hint="eastAsia" w:ascii="宋体" w:hAnsi="宋体" w:cs="宋体"/>
          <w:color w:val="auto"/>
          <w:szCs w:val="21"/>
          <w:highlight w:val="none"/>
        </w:rPr>
        <w:t>（3）与投标人有经济利益关系，可能影响对投标公正评审的；</w:t>
      </w:r>
    </w:p>
    <w:p w14:paraId="7E3CF6BF">
      <w:pPr>
        <w:ind w:firstLine="820" w:firstLineChars="342"/>
        <w:rPr>
          <w:rFonts w:hint="eastAsia" w:ascii="宋体" w:hAnsi="宋体" w:cs="宋体"/>
          <w:color w:val="auto"/>
          <w:szCs w:val="21"/>
          <w:highlight w:val="none"/>
        </w:rPr>
      </w:pPr>
      <w:r>
        <w:rPr>
          <w:rFonts w:hint="eastAsia" w:ascii="宋体" w:hAnsi="宋体" w:cs="宋体"/>
          <w:color w:val="auto"/>
          <w:szCs w:val="21"/>
          <w:highlight w:val="none"/>
        </w:rPr>
        <w:t>（4）曾因在招标、评标以及其他与招标投标有关活动中从事违法行为而受过行政处罚或刑事处罚的；</w:t>
      </w:r>
    </w:p>
    <w:p w14:paraId="742C0F12">
      <w:pPr>
        <w:ind w:firstLine="820" w:firstLineChars="342"/>
        <w:rPr>
          <w:rFonts w:hint="eastAsia" w:ascii="宋体" w:hAnsi="宋体" w:cs="宋体"/>
          <w:color w:val="auto"/>
          <w:szCs w:val="21"/>
          <w:highlight w:val="none"/>
        </w:rPr>
      </w:pPr>
      <w:r>
        <w:rPr>
          <w:rFonts w:hint="eastAsia" w:ascii="宋体" w:hAnsi="宋体" w:cs="宋体"/>
          <w:color w:val="auto"/>
          <w:szCs w:val="21"/>
          <w:highlight w:val="none"/>
        </w:rPr>
        <w:t>（5）与投标人有其他利害关系。</w:t>
      </w:r>
    </w:p>
    <w:p w14:paraId="162EEE0A">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6.2 评标原则</w:t>
      </w:r>
    </w:p>
    <w:p w14:paraId="4BEB7C2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评标活动遵循公平、公正、科学和择优的原则。</w:t>
      </w:r>
    </w:p>
    <w:p w14:paraId="4E25737A">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6.3 评标</w:t>
      </w:r>
    </w:p>
    <w:p w14:paraId="28EE6AE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评标委员会按照第三章“评标办法”规定的方法、评审因素、标准和程序对投标文件进行评审。第三章“评标办法”没有规定的方法、评审因素和标准，不作为评标依据。</w:t>
      </w:r>
    </w:p>
    <w:p w14:paraId="5183C3BF">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7. 合同授予</w:t>
      </w:r>
    </w:p>
    <w:p w14:paraId="658C316C">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7.1 定标方式</w:t>
      </w:r>
    </w:p>
    <w:p w14:paraId="274A0BA3">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除投标人须知前附表规定评标委员会直接确定中标人外，招标人依据评标委员会推荐的中标候选人确定中标人，评标委员会推荐中标候选人的人数见投标人须知前附表。</w:t>
      </w:r>
    </w:p>
    <w:p w14:paraId="302594E2">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7.2 中标候选人公示</w:t>
      </w:r>
    </w:p>
    <w:p w14:paraId="7D924A4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招标人在投标人须知前附表规定的媒介公示中标候选人。</w:t>
      </w:r>
    </w:p>
    <w:p w14:paraId="236E8064">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7.3 中标通知</w:t>
      </w:r>
    </w:p>
    <w:p w14:paraId="3EE2FC86">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在本章第3.3款规定的投标有效期内，招标人以书面形式向中标人发出中标通知书，同时将中标结果通知未中标的投标人。</w:t>
      </w:r>
    </w:p>
    <w:p w14:paraId="0AD224E9">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7.4 履约担保</w:t>
      </w:r>
    </w:p>
    <w:p w14:paraId="39A186C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详见投标人须知前附表。</w:t>
      </w:r>
    </w:p>
    <w:p w14:paraId="77CFC7ED">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8. 纪律和监督</w:t>
      </w:r>
    </w:p>
    <w:p w14:paraId="1AE20EDD">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8.1 对招标人的纪律要求</w:t>
      </w:r>
    </w:p>
    <w:p w14:paraId="7C00109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招标人不得泄漏招标投标活动中应当保密的情况和资料，不得与投标人串通损害国家利益、社会公共利益或者他人合法权益。</w:t>
      </w:r>
    </w:p>
    <w:p w14:paraId="50A84047">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8.2 对投标人的纪律要求</w:t>
      </w:r>
    </w:p>
    <w:p w14:paraId="19945912">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投标人不得相互串通投标或者与招标人串通投标，不得向招标人或者评标委员会成员行贿谋取中标，不得以他人名义投标或者以其他方式弄虚作假骗取中标；投标人不得以任何方式干扰、影响评标工作。</w:t>
      </w:r>
    </w:p>
    <w:p w14:paraId="6EAFB3B4">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8.3 对评标委员会成员的纪律要求</w:t>
      </w:r>
    </w:p>
    <w:p w14:paraId="5C42868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评标委员会成员不得收受他人的财物或者其他好处，不得向他人透漏对投标文件的评审和比较、中标候选人的推荐情况以及评标有关的其他情况。在评标活动中，评标委员会成员应当客观、公正地履行职责，遵守职业道德，不得擅离职守，影响评标程序正常进行，不得使用第三章“评标办法”没有规定的评审因素和标准进行评标。</w:t>
      </w:r>
    </w:p>
    <w:p w14:paraId="166E2A0F">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8.4 对与评标活动有关的工作人员的纪律要求</w:t>
      </w:r>
    </w:p>
    <w:p w14:paraId="09EF5E2A">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与评标活动有关的工作人员不得收受他人的财物或者其他好处，不得向他人透漏对投标文件的评审和比较、中标候选人的推荐情况以及评标有关的其他情况。在评标活动中，与评标活动有关的工作人员不得擅离职守，影响评标程序正常进行。</w:t>
      </w:r>
    </w:p>
    <w:p w14:paraId="31C1DD20">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8.5 投诉</w:t>
      </w:r>
    </w:p>
    <w:p w14:paraId="2658858B">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投标人和其他利害关系人认为本次招标活动违反法律、法规和规章规定的，有权向有关行政监督部门投诉。</w:t>
      </w:r>
    </w:p>
    <w:p w14:paraId="6F7D2A1D">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9. 需要补充的其他内容</w:t>
      </w:r>
    </w:p>
    <w:p w14:paraId="3AE3337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需要补充的其他内容：见投标人须知前附表。</w:t>
      </w:r>
    </w:p>
    <w:p w14:paraId="7521781D">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10. 电子招标投标</w:t>
      </w:r>
    </w:p>
    <w:p w14:paraId="0B1DBE1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采用电子招标投标，对投标文件的编制、密封和标记、递交、开标、评标等具体要求，见投标人须知前附表。</w:t>
      </w:r>
    </w:p>
    <w:p w14:paraId="18B5A169"/>
    <w:p w14:paraId="1122A8BF">
      <w:pPr>
        <w:ind w:left="0" w:leftChars="0" w:firstLine="0" w:firstLineChars="0"/>
      </w:pPr>
    </w:p>
    <w:bookmarkEnd w:id="39"/>
    <w:bookmarkEnd w:id="40"/>
    <w:bookmarkEnd w:id="41"/>
    <w:bookmarkEnd w:id="42"/>
    <w:p w14:paraId="4FE8F66C">
      <w:pPr>
        <w:pStyle w:val="4"/>
        <w:numPr>
          <w:numId w:val="0"/>
        </w:numPr>
        <w:spacing w:before="0" w:after="0" w:line="360" w:lineRule="auto"/>
        <w:ind w:left="-425" w:leftChars="0"/>
        <w:jc w:val="center"/>
        <w:rPr>
          <w:rFonts w:hint="eastAsia" w:ascii="宋体" w:hAnsi="宋体" w:eastAsia="宋体" w:cs="宋体"/>
          <w:bCs w:val="0"/>
          <w:color w:val="auto"/>
          <w:szCs w:val="32"/>
          <w:highlight w:val="none"/>
        </w:rPr>
      </w:pPr>
      <w:bookmarkStart w:id="43" w:name="_Toc89711860"/>
      <w:bookmarkStart w:id="44" w:name="_Toc2915"/>
      <w:bookmarkStart w:id="45" w:name="_Toc11459"/>
      <w:bookmarkStart w:id="46" w:name="_Toc29587"/>
      <w:bookmarkStart w:id="47" w:name="_Toc514325468"/>
      <w:bookmarkStart w:id="48" w:name="_Toc247527623"/>
      <w:bookmarkStart w:id="49" w:name="_Toc144974565"/>
      <w:bookmarkStart w:id="50" w:name="_Toc152042375"/>
      <w:bookmarkStart w:id="51" w:name="_Toc247514022"/>
      <w:bookmarkStart w:id="52" w:name="_Toc152045598"/>
      <w:r>
        <w:rPr>
          <w:rFonts w:hint="eastAsia" w:ascii="宋体" w:hAnsi="宋体" w:eastAsia="宋体" w:cs="宋体"/>
          <w:color w:val="auto"/>
          <w:highlight w:val="none"/>
        </w:rPr>
        <w:t>第三章</w:t>
      </w:r>
      <w:bookmarkStart w:id="53" w:name="_Toc25431"/>
      <w:r>
        <w:rPr>
          <w:rFonts w:hint="eastAsia" w:ascii="宋体" w:hAnsi="宋体" w:eastAsia="宋体" w:cs="宋体"/>
          <w:color w:val="auto"/>
          <w:highlight w:val="none"/>
        </w:rPr>
        <w:t xml:space="preserve"> </w:t>
      </w:r>
      <w:r>
        <w:rPr>
          <w:rFonts w:hint="eastAsia" w:ascii="宋体" w:hAnsi="宋体" w:eastAsia="宋体" w:cs="宋体"/>
          <w:color w:val="auto"/>
          <w:highlight w:val="yellow"/>
        </w:rPr>
        <w:t>评标办法</w:t>
      </w:r>
      <w:r>
        <w:rPr>
          <w:rFonts w:hint="eastAsia" w:ascii="宋体" w:hAnsi="宋体" w:eastAsia="宋体" w:cs="宋体"/>
          <w:color w:val="auto"/>
          <w:highlight w:val="none"/>
        </w:rPr>
        <w:t>（综合评估法）</w:t>
      </w:r>
      <w:bookmarkEnd w:id="43"/>
      <w:bookmarkEnd w:id="44"/>
      <w:bookmarkEnd w:id="45"/>
      <w:bookmarkEnd w:id="46"/>
      <w:bookmarkEnd w:id="47"/>
    </w:p>
    <w:p w14:paraId="7226769D">
      <w:pPr>
        <w:pStyle w:val="5"/>
        <w:numPr>
          <w:numId w:val="0"/>
        </w:numPr>
        <w:spacing w:before="0" w:after="0" w:line="360" w:lineRule="auto"/>
        <w:ind w:left="-567" w:leftChars="0"/>
        <w:jc w:val="center"/>
        <w:rPr>
          <w:rFonts w:hint="eastAsia" w:ascii="宋体" w:hAnsi="宋体" w:cs="宋体"/>
          <w:color w:val="auto"/>
          <w:szCs w:val="21"/>
          <w:highlight w:val="none"/>
        </w:rPr>
      </w:pPr>
      <w:bookmarkStart w:id="54" w:name="_Toc29207"/>
      <w:bookmarkStart w:id="55" w:name="_Toc514325862"/>
      <w:bookmarkStart w:id="56" w:name="_Toc88741197"/>
      <w:bookmarkStart w:id="57" w:name="_Toc28860"/>
      <w:bookmarkStart w:id="58" w:name="_Toc89711861"/>
      <w:bookmarkStart w:id="59" w:name="_Toc514325469"/>
      <w:r>
        <w:rPr>
          <w:rFonts w:hint="eastAsia" w:ascii="宋体" w:hAnsi="宋体" w:cs="宋体"/>
          <w:color w:val="auto"/>
          <w:szCs w:val="21"/>
          <w:highlight w:val="none"/>
        </w:rPr>
        <w:t>评标办法前附表</w:t>
      </w:r>
      <w:bookmarkEnd w:id="53"/>
      <w:bookmarkEnd w:id="54"/>
      <w:bookmarkEnd w:id="55"/>
      <w:bookmarkEnd w:id="56"/>
      <w:bookmarkEnd w:id="57"/>
      <w:bookmarkEnd w:id="58"/>
      <w:bookmarkEnd w:id="59"/>
    </w:p>
    <w:tbl>
      <w:tblPr>
        <w:tblStyle w:val="35"/>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00"/>
        <w:gridCol w:w="112"/>
        <w:gridCol w:w="1012"/>
        <w:gridCol w:w="1945"/>
        <w:gridCol w:w="5521"/>
      </w:tblGrid>
      <w:tr w14:paraId="1AFDB035">
        <w:trPr>
          <w:trHeight w:val="20" w:hRule="atLeast"/>
          <w:jc w:val="center"/>
        </w:trPr>
        <w:tc>
          <w:tcPr>
            <w:tcW w:w="2024" w:type="dxa"/>
            <w:gridSpan w:val="3"/>
            <w:noWrap w:val="0"/>
            <w:vAlign w:val="center"/>
          </w:tcPr>
          <w:p w14:paraId="36AB5233">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条款号</w:t>
            </w:r>
          </w:p>
        </w:tc>
        <w:tc>
          <w:tcPr>
            <w:tcW w:w="1945" w:type="dxa"/>
            <w:noWrap w:val="0"/>
            <w:vAlign w:val="center"/>
          </w:tcPr>
          <w:p w14:paraId="3164601C">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评审因素</w:t>
            </w:r>
          </w:p>
        </w:tc>
        <w:tc>
          <w:tcPr>
            <w:tcW w:w="5521" w:type="dxa"/>
            <w:noWrap w:val="0"/>
            <w:vAlign w:val="center"/>
          </w:tcPr>
          <w:p w14:paraId="4461BDEF">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评审标准</w:t>
            </w:r>
          </w:p>
        </w:tc>
      </w:tr>
      <w:tr w14:paraId="362ADFFA">
        <w:trPr>
          <w:trHeight w:val="20" w:hRule="atLeast"/>
          <w:jc w:val="center"/>
        </w:trPr>
        <w:tc>
          <w:tcPr>
            <w:tcW w:w="900" w:type="dxa"/>
            <w:noWrap w:val="0"/>
            <w:vAlign w:val="center"/>
          </w:tcPr>
          <w:p w14:paraId="4FDE650B">
            <w:pPr>
              <w:spacing w:line="240" w:lineRule="auto"/>
              <w:contextualSpacing/>
              <w:jc w:val="center"/>
              <w:rPr>
                <w:rFonts w:hint="eastAsia" w:ascii="宋体" w:hAnsi="宋体" w:eastAsia="宋体" w:cs="宋体"/>
                <w:b/>
                <w:color w:val="auto"/>
                <w:szCs w:val="21"/>
                <w:highlight w:val="none"/>
              </w:rPr>
            </w:pPr>
            <w:r>
              <w:rPr>
                <w:rFonts w:hint="eastAsia" w:ascii="宋体" w:hAnsi="宋体" w:eastAsia="宋体" w:cs="宋体"/>
                <w:color w:val="auto"/>
                <w:szCs w:val="21"/>
                <w:highlight w:val="none"/>
              </w:rPr>
              <w:t>1</w:t>
            </w:r>
          </w:p>
        </w:tc>
        <w:tc>
          <w:tcPr>
            <w:tcW w:w="1124" w:type="dxa"/>
            <w:gridSpan w:val="2"/>
            <w:noWrap w:val="0"/>
            <w:vAlign w:val="center"/>
          </w:tcPr>
          <w:p w14:paraId="510B5C39">
            <w:pPr>
              <w:spacing w:line="240" w:lineRule="auto"/>
              <w:contextualSpacing/>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评标方法</w:t>
            </w:r>
          </w:p>
        </w:tc>
        <w:tc>
          <w:tcPr>
            <w:tcW w:w="1945" w:type="dxa"/>
            <w:noWrap w:val="0"/>
            <w:vAlign w:val="center"/>
          </w:tcPr>
          <w:p w14:paraId="595886CF">
            <w:pPr>
              <w:spacing w:line="240" w:lineRule="auto"/>
              <w:contextualSpacing/>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中标候选人</w:t>
            </w:r>
          </w:p>
          <w:p w14:paraId="252E9BB3">
            <w:pPr>
              <w:spacing w:line="240" w:lineRule="auto"/>
              <w:contextualSpacing/>
              <w:jc w:val="center"/>
              <w:rPr>
                <w:rFonts w:hint="eastAsia" w:ascii="宋体" w:hAnsi="宋体" w:eastAsia="宋体" w:cs="宋体"/>
                <w:b/>
                <w:color w:val="auto"/>
                <w:szCs w:val="21"/>
                <w:highlight w:val="none"/>
              </w:rPr>
            </w:pPr>
            <w:r>
              <w:rPr>
                <w:rFonts w:hint="eastAsia" w:ascii="宋体" w:hAnsi="宋体" w:eastAsia="宋体" w:cs="宋体"/>
                <w:color w:val="auto"/>
                <w:szCs w:val="21"/>
                <w:highlight w:val="none"/>
              </w:rPr>
              <w:t>排序方法</w:t>
            </w:r>
          </w:p>
        </w:tc>
        <w:tc>
          <w:tcPr>
            <w:tcW w:w="5521" w:type="dxa"/>
            <w:noWrap w:val="0"/>
            <w:vAlign w:val="center"/>
          </w:tcPr>
          <w:p w14:paraId="29BB8BC7">
            <w:pPr>
              <w:spacing w:line="240" w:lineRule="auto"/>
              <w:rPr>
                <w:rFonts w:hint="eastAsia" w:ascii="宋体" w:hAnsi="宋体" w:eastAsia="宋体" w:cs="宋体"/>
                <w:b/>
                <w:color w:val="auto"/>
                <w:szCs w:val="21"/>
                <w:highlight w:val="none"/>
              </w:rPr>
            </w:pPr>
            <w:r>
              <w:rPr>
                <w:rFonts w:hint="eastAsia" w:ascii="宋体" w:hAnsi="宋体" w:eastAsia="宋体" w:cs="宋体"/>
                <w:color w:val="auto"/>
                <w:kern w:val="0"/>
                <w:szCs w:val="21"/>
                <w:highlight w:val="none"/>
              </w:rPr>
              <w:t>详见本章“1.评标方法”</w:t>
            </w:r>
          </w:p>
        </w:tc>
      </w:tr>
      <w:tr w14:paraId="004C558E">
        <w:trPr>
          <w:trHeight w:val="20" w:hRule="atLeast"/>
          <w:jc w:val="center"/>
        </w:trPr>
        <w:tc>
          <w:tcPr>
            <w:tcW w:w="900" w:type="dxa"/>
            <w:vMerge w:val="restart"/>
            <w:noWrap w:val="0"/>
            <w:vAlign w:val="center"/>
          </w:tcPr>
          <w:p w14:paraId="2D899BE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2.1.1</w:t>
            </w:r>
          </w:p>
        </w:tc>
        <w:tc>
          <w:tcPr>
            <w:tcW w:w="1124" w:type="dxa"/>
            <w:gridSpan w:val="2"/>
            <w:vMerge w:val="restart"/>
            <w:noWrap w:val="0"/>
            <w:vAlign w:val="center"/>
          </w:tcPr>
          <w:p w14:paraId="47D7D43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形式评审标准</w:t>
            </w:r>
          </w:p>
        </w:tc>
        <w:tc>
          <w:tcPr>
            <w:tcW w:w="1945" w:type="dxa"/>
            <w:noWrap w:val="0"/>
            <w:vAlign w:val="center"/>
          </w:tcPr>
          <w:p w14:paraId="757DF8B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投标人名称</w:t>
            </w:r>
          </w:p>
        </w:tc>
        <w:tc>
          <w:tcPr>
            <w:tcW w:w="5521" w:type="dxa"/>
            <w:noWrap w:val="0"/>
            <w:vAlign w:val="center"/>
          </w:tcPr>
          <w:p w14:paraId="0FAE6666">
            <w:pPr>
              <w:spacing w:line="240" w:lineRule="auto"/>
              <w:rPr>
                <w:rFonts w:hint="eastAsia"/>
                <w:color w:val="auto"/>
                <w:highlight w:val="none"/>
              </w:rPr>
            </w:pPr>
            <w:r>
              <w:rPr>
                <w:rFonts w:hint="eastAsia" w:ascii="宋体" w:hAnsi="宋体" w:eastAsia="宋体" w:cs="宋体"/>
                <w:color w:val="auto"/>
                <w:szCs w:val="21"/>
                <w:highlight w:val="none"/>
              </w:rPr>
              <w:t>投标人名称与营业执照名称一致</w:t>
            </w:r>
            <w:r>
              <w:rPr>
                <w:rFonts w:hint="eastAsia" w:ascii="宋体" w:hAnsi="宋体" w:eastAsia="宋体" w:cs="宋体"/>
                <w:color w:val="auto"/>
                <w:szCs w:val="21"/>
                <w:highlight w:val="none"/>
                <w:lang w:eastAsia="zh-CN"/>
              </w:rPr>
              <w:t>。</w:t>
            </w:r>
          </w:p>
        </w:tc>
      </w:tr>
      <w:tr w14:paraId="01135205">
        <w:trPr>
          <w:trHeight w:val="20" w:hRule="atLeast"/>
          <w:jc w:val="center"/>
        </w:trPr>
        <w:tc>
          <w:tcPr>
            <w:tcW w:w="900" w:type="dxa"/>
            <w:vMerge w:val="continue"/>
            <w:noWrap w:val="0"/>
            <w:vAlign w:val="center"/>
          </w:tcPr>
          <w:p w14:paraId="2F61FE58">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383999F1">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5D8E4B4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投标函盖章</w:t>
            </w:r>
          </w:p>
        </w:tc>
        <w:tc>
          <w:tcPr>
            <w:tcW w:w="5521" w:type="dxa"/>
            <w:noWrap w:val="0"/>
            <w:vAlign w:val="center"/>
          </w:tcPr>
          <w:p w14:paraId="11579304">
            <w:pPr>
              <w:spacing w:line="240" w:lineRule="auto"/>
              <w:contextualSpacing/>
              <w:rPr>
                <w:rFonts w:hint="eastAsia" w:ascii="宋体" w:hAnsi="宋体" w:eastAsia="宋体" w:cs="宋体"/>
                <w:color w:val="auto"/>
                <w:szCs w:val="21"/>
                <w:highlight w:val="none"/>
              </w:rPr>
            </w:pPr>
            <w:r>
              <w:rPr>
                <w:rFonts w:hint="eastAsia" w:ascii="宋体" w:hAnsi="宋体" w:eastAsia="宋体" w:cs="宋体"/>
                <w:color w:val="auto"/>
                <w:szCs w:val="21"/>
                <w:highlight w:val="none"/>
              </w:rPr>
              <w:t>按招标文件中“投标函”的要求加盖单位公章</w:t>
            </w:r>
          </w:p>
        </w:tc>
      </w:tr>
      <w:tr w14:paraId="316E1D82">
        <w:trPr>
          <w:trHeight w:val="20" w:hRule="atLeast"/>
          <w:jc w:val="center"/>
        </w:trPr>
        <w:tc>
          <w:tcPr>
            <w:tcW w:w="900" w:type="dxa"/>
            <w:vMerge w:val="continue"/>
            <w:noWrap w:val="0"/>
            <w:vAlign w:val="center"/>
          </w:tcPr>
          <w:p w14:paraId="041DAF83">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028A8D24">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7378E24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投标文件格式</w:t>
            </w:r>
          </w:p>
        </w:tc>
        <w:tc>
          <w:tcPr>
            <w:tcW w:w="5521" w:type="dxa"/>
            <w:noWrap w:val="0"/>
            <w:vAlign w:val="center"/>
          </w:tcPr>
          <w:p w14:paraId="6D9EAFAE">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符合招标文件第七章“投标文件格式”要求</w:t>
            </w:r>
          </w:p>
        </w:tc>
      </w:tr>
      <w:tr w14:paraId="23BEC4A7">
        <w:trPr>
          <w:trHeight w:val="20" w:hRule="atLeast"/>
          <w:jc w:val="center"/>
        </w:trPr>
        <w:tc>
          <w:tcPr>
            <w:tcW w:w="900" w:type="dxa"/>
            <w:vMerge w:val="continue"/>
            <w:noWrap w:val="0"/>
            <w:vAlign w:val="center"/>
          </w:tcPr>
          <w:p w14:paraId="4734EDC5">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556F2B13">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0428B98">
            <w:pPr>
              <w:spacing w:line="240" w:lineRule="auto"/>
              <w:jc w:val="center"/>
              <w:rPr>
                <w:rFonts w:hint="eastAsia" w:ascii="宋体" w:hAnsi="宋体" w:eastAsia="宋体" w:cs="宋体"/>
                <w:color w:val="auto"/>
                <w:highlight w:val="none"/>
              </w:rPr>
            </w:pPr>
            <w:r>
              <w:rPr>
                <w:rFonts w:hint="eastAsia" w:ascii="宋体" w:hAnsi="宋体" w:eastAsia="宋体" w:cs="宋体"/>
                <w:color w:val="auto"/>
                <w:szCs w:val="21"/>
                <w:highlight w:val="none"/>
              </w:rPr>
              <w:t>联合体投标人</w:t>
            </w:r>
          </w:p>
        </w:tc>
        <w:tc>
          <w:tcPr>
            <w:tcW w:w="5521" w:type="dxa"/>
            <w:noWrap w:val="0"/>
            <w:vAlign w:val="center"/>
          </w:tcPr>
          <w:p w14:paraId="4CC4B634">
            <w:pPr>
              <w:spacing w:line="240" w:lineRule="auto"/>
              <w:rPr>
                <w:rFonts w:hint="eastAsia" w:ascii="宋体" w:hAnsi="宋体" w:eastAsia="宋体" w:cs="宋体"/>
                <w:color w:val="auto"/>
                <w:highlight w:val="none"/>
              </w:rPr>
            </w:pPr>
            <w:r>
              <w:rPr>
                <w:rFonts w:hint="eastAsia" w:ascii="宋体" w:hAnsi="宋体" w:eastAsia="宋体" w:cs="宋体"/>
                <w:color w:val="auto"/>
                <w:szCs w:val="21"/>
                <w:highlight w:val="none"/>
              </w:rPr>
              <w:t>提交联合体协议书，并明确联合体牵头人，获取招标文件的联合体牵头人信息应与投标时的信息保持一致。</w:t>
            </w:r>
          </w:p>
        </w:tc>
      </w:tr>
      <w:tr w14:paraId="5E45AB5D">
        <w:trPr>
          <w:trHeight w:val="20" w:hRule="atLeast"/>
          <w:jc w:val="center"/>
        </w:trPr>
        <w:tc>
          <w:tcPr>
            <w:tcW w:w="900" w:type="dxa"/>
            <w:vMerge w:val="continue"/>
            <w:noWrap w:val="0"/>
            <w:vAlign w:val="center"/>
          </w:tcPr>
          <w:p w14:paraId="3260E8B4">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718755D5">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4784C80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报价唯一</w:t>
            </w:r>
          </w:p>
        </w:tc>
        <w:tc>
          <w:tcPr>
            <w:tcW w:w="5521" w:type="dxa"/>
            <w:noWrap w:val="0"/>
            <w:vAlign w:val="center"/>
          </w:tcPr>
          <w:p w14:paraId="2F8EAA65">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只能有一个有效报价</w:t>
            </w:r>
          </w:p>
        </w:tc>
      </w:tr>
      <w:tr w14:paraId="4295F668">
        <w:trPr>
          <w:trHeight w:val="20" w:hRule="atLeast"/>
          <w:jc w:val="center"/>
        </w:trPr>
        <w:tc>
          <w:tcPr>
            <w:tcW w:w="900" w:type="dxa"/>
            <w:vMerge w:val="continue"/>
            <w:noWrap w:val="0"/>
            <w:vAlign w:val="center"/>
          </w:tcPr>
          <w:p w14:paraId="52E6E001">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5AEC5528">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6139989">
            <w:pPr>
              <w:spacing w:line="240" w:lineRule="auto"/>
              <w:contextualSpacing/>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备选投标方案</w:t>
            </w:r>
          </w:p>
        </w:tc>
        <w:tc>
          <w:tcPr>
            <w:tcW w:w="5521" w:type="dxa"/>
            <w:noWrap w:val="0"/>
            <w:vAlign w:val="center"/>
          </w:tcPr>
          <w:p w14:paraId="1086F513">
            <w:pPr>
              <w:spacing w:line="240" w:lineRule="auto"/>
              <w:contextualSpacing/>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投标人不得提交备选投标方案</w:t>
            </w:r>
          </w:p>
        </w:tc>
      </w:tr>
      <w:tr w14:paraId="3AB3D0CD">
        <w:trPr>
          <w:trHeight w:val="20" w:hRule="atLeast"/>
          <w:jc w:val="center"/>
        </w:trPr>
        <w:tc>
          <w:tcPr>
            <w:tcW w:w="900" w:type="dxa"/>
            <w:vMerge w:val="restart"/>
            <w:tcBorders>
              <w:top w:val="single" w:color="auto" w:sz="4" w:space="0"/>
            </w:tcBorders>
            <w:noWrap w:val="0"/>
            <w:vAlign w:val="center"/>
          </w:tcPr>
          <w:p w14:paraId="2259E05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2.1.2</w:t>
            </w:r>
          </w:p>
        </w:tc>
        <w:tc>
          <w:tcPr>
            <w:tcW w:w="1124" w:type="dxa"/>
            <w:gridSpan w:val="2"/>
            <w:vMerge w:val="restart"/>
            <w:tcBorders>
              <w:top w:val="single" w:color="auto" w:sz="4" w:space="0"/>
            </w:tcBorders>
            <w:noWrap w:val="0"/>
            <w:vAlign w:val="center"/>
          </w:tcPr>
          <w:p w14:paraId="5F4BCA1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资格评审标准</w:t>
            </w:r>
          </w:p>
        </w:tc>
        <w:tc>
          <w:tcPr>
            <w:tcW w:w="1945" w:type="dxa"/>
            <w:noWrap w:val="0"/>
            <w:vAlign w:val="center"/>
          </w:tcPr>
          <w:p w14:paraId="6FC5D92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资质要求</w:t>
            </w:r>
          </w:p>
        </w:tc>
        <w:tc>
          <w:tcPr>
            <w:tcW w:w="5521" w:type="dxa"/>
            <w:noWrap w:val="0"/>
            <w:vAlign w:val="center"/>
          </w:tcPr>
          <w:p w14:paraId="726F30B4">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71ABEC0C">
        <w:trPr>
          <w:trHeight w:val="20" w:hRule="atLeast"/>
          <w:jc w:val="center"/>
        </w:trPr>
        <w:tc>
          <w:tcPr>
            <w:tcW w:w="900" w:type="dxa"/>
            <w:vMerge w:val="continue"/>
            <w:noWrap w:val="0"/>
            <w:vAlign w:val="center"/>
          </w:tcPr>
          <w:p w14:paraId="20E1884E">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324D3B86">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07EF2D6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财务要求</w:t>
            </w:r>
          </w:p>
        </w:tc>
        <w:tc>
          <w:tcPr>
            <w:tcW w:w="5521" w:type="dxa"/>
            <w:noWrap w:val="0"/>
            <w:vAlign w:val="center"/>
          </w:tcPr>
          <w:p w14:paraId="0EDD7014">
            <w:pPr>
              <w:spacing w:line="240" w:lineRule="auto"/>
              <w:contextualSpacing/>
              <w:jc w:val="left"/>
              <w:rPr>
                <w:rFonts w:hint="eastAsia" w:ascii="宋体" w:hAnsi="宋体" w:eastAsia="宋体" w:cs="宋体"/>
                <w:b/>
                <w:bCs/>
                <w:color w:val="auto"/>
                <w:szCs w:val="21"/>
                <w:highlight w:val="none"/>
              </w:rPr>
            </w:pPr>
            <w:r>
              <w:rPr>
                <w:rFonts w:hint="eastAsia" w:ascii="宋体" w:hAnsi="宋体" w:eastAsia="宋体" w:cs="宋体"/>
                <w:color w:val="auto"/>
                <w:szCs w:val="21"/>
                <w:highlight w:val="none"/>
              </w:rPr>
              <w:t>符合第二章“投标人须知”第1.4.1项规定</w:t>
            </w:r>
          </w:p>
        </w:tc>
      </w:tr>
      <w:tr w14:paraId="27E193E8">
        <w:trPr>
          <w:trHeight w:val="20" w:hRule="atLeast"/>
          <w:jc w:val="center"/>
        </w:trPr>
        <w:tc>
          <w:tcPr>
            <w:tcW w:w="900" w:type="dxa"/>
            <w:vMerge w:val="continue"/>
            <w:noWrap w:val="0"/>
            <w:vAlign w:val="center"/>
          </w:tcPr>
          <w:p w14:paraId="3159C156">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05090C20">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2E0421C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业绩要求</w:t>
            </w:r>
          </w:p>
        </w:tc>
        <w:tc>
          <w:tcPr>
            <w:tcW w:w="5521" w:type="dxa"/>
            <w:noWrap w:val="0"/>
            <w:vAlign w:val="center"/>
          </w:tcPr>
          <w:p w14:paraId="153149CF">
            <w:pPr>
              <w:spacing w:line="240" w:lineRule="auto"/>
              <w:contextualSpacing/>
              <w:jc w:val="left"/>
              <w:rPr>
                <w:rFonts w:hint="eastAsia" w:ascii="宋体" w:hAnsi="宋体" w:eastAsia="宋体" w:cs="宋体"/>
                <w:b/>
                <w:bCs/>
                <w:color w:val="auto"/>
                <w:szCs w:val="21"/>
                <w:highlight w:val="none"/>
              </w:rPr>
            </w:pPr>
            <w:r>
              <w:rPr>
                <w:rFonts w:hint="eastAsia" w:ascii="宋体" w:hAnsi="宋体" w:eastAsia="宋体" w:cs="宋体"/>
                <w:color w:val="auto"/>
                <w:szCs w:val="21"/>
                <w:highlight w:val="none"/>
              </w:rPr>
              <w:t>符合第二章“投标人须知”第1.4.1项规定</w:t>
            </w:r>
          </w:p>
        </w:tc>
      </w:tr>
      <w:tr w14:paraId="1D0D7955">
        <w:trPr>
          <w:trHeight w:val="20" w:hRule="atLeast"/>
          <w:jc w:val="center"/>
        </w:trPr>
        <w:tc>
          <w:tcPr>
            <w:tcW w:w="900" w:type="dxa"/>
            <w:vMerge w:val="continue"/>
            <w:noWrap w:val="0"/>
            <w:vAlign w:val="center"/>
          </w:tcPr>
          <w:p w14:paraId="65BF2A9D">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332D5F11">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3BB113A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信誉要求</w:t>
            </w:r>
          </w:p>
        </w:tc>
        <w:tc>
          <w:tcPr>
            <w:tcW w:w="5521" w:type="dxa"/>
            <w:noWrap w:val="0"/>
            <w:vAlign w:val="center"/>
          </w:tcPr>
          <w:p w14:paraId="77B6444B">
            <w:pPr>
              <w:spacing w:line="240" w:lineRule="auto"/>
              <w:contextualSpacing/>
              <w:jc w:val="left"/>
              <w:rPr>
                <w:rFonts w:hint="eastAsia" w:ascii="宋体" w:hAnsi="宋体" w:eastAsia="宋体" w:cs="宋体"/>
                <w:b/>
                <w:bCs/>
                <w:color w:val="auto"/>
                <w:szCs w:val="21"/>
                <w:highlight w:val="none"/>
              </w:rPr>
            </w:pPr>
            <w:r>
              <w:rPr>
                <w:rFonts w:hint="eastAsia" w:ascii="宋体" w:hAnsi="宋体" w:eastAsia="宋体" w:cs="宋体"/>
                <w:color w:val="auto"/>
                <w:szCs w:val="21"/>
                <w:highlight w:val="none"/>
              </w:rPr>
              <w:t>符合第二章“投标人须知”第1.4.1项规定</w:t>
            </w:r>
          </w:p>
        </w:tc>
      </w:tr>
      <w:tr w14:paraId="3C8EC3F4">
        <w:trPr>
          <w:trHeight w:val="20" w:hRule="atLeast"/>
          <w:jc w:val="center"/>
        </w:trPr>
        <w:tc>
          <w:tcPr>
            <w:tcW w:w="900" w:type="dxa"/>
            <w:vMerge w:val="continue"/>
            <w:noWrap w:val="0"/>
            <w:vAlign w:val="center"/>
          </w:tcPr>
          <w:p w14:paraId="65D50E68">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73F50863">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261A490D">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lang w:eastAsia="zh-CN"/>
              </w:rPr>
              <w:t>项目经理</w:t>
            </w:r>
            <w:r>
              <w:rPr>
                <w:rFonts w:hint="eastAsia" w:ascii="宋体" w:hAnsi="宋体" w:eastAsia="宋体" w:cs="宋体"/>
                <w:color w:val="auto"/>
                <w:szCs w:val="21"/>
                <w:highlight w:val="none"/>
              </w:rPr>
              <w:t>的</w:t>
            </w:r>
          </w:p>
          <w:p w14:paraId="07DA836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资格要求</w:t>
            </w:r>
          </w:p>
        </w:tc>
        <w:tc>
          <w:tcPr>
            <w:tcW w:w="5521" w:type="dxa"/>
            <w:noWrap w:val="0"/>
            <w:vAlign w:val="center"/>
          </w:tcPr>
          <w:p w14:paraId="4C8C1DA1">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71CE3B7B">
        <w:trPr>
          <w:trHeight w:val="20" w:hRule="atLeast"/>
          <w:jc w:val="center"/>
        </w:trPr>
        <w:tc>
          <w:tcPr>
            <w:tcW w:w="900" w:type="dxa"/>
            <w:vMerge w:val="continue"/>
            <w:noWrap w:val="0"/>
            <w:vAlign w:val="center"/>
          </w:tcPr>
          <w:p w14:paraId="52E5EE34">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679D0E84">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2F93BC6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设计负责人的</w:t>
            </w:r>
          </w:p>
          <w:p w14:paraId="035DFDE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资格要求</w:t>
            </w:r>
          </w:p>
        </w:tc>
        <w:tc>
          <w:tcPr>
            <w:tcW w:w="5521" w:type="dxa"/>
            <w:noWrap w:val="0"/>
            <w:vAlign w:val="center"/>
          </w:tcPr>
          <w:p w14:paraId="6075B651">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7D2FA3AD">
        <w:trPr>
          <w:trHeight w:val="20" w:hRule="atLeast"/>
          <w:jc w:val="center"/>
        </w:trPr>
        <w:tc>
          <w:tcPr>
            <w:tcW w:w="900" w:type="dxa"/>
            <w:vMerge w:val="continue"/>
            <w:noWrap w:val="0"/>
            <w:vAlign w:val="center"/>
          </w:tcPr>
          <w:p w14:paraId="57C918BD">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733322F7">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3A7F7EE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施工负责人的</w:t>
            </w:r>
          </w:p>
          <w:p w14:paraId="0E3502C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资格要求</w:t>
            </w:r>
          </w:p>
        </w:tc>
        <w:tc>
          <w:tcPr>
            <w:tcW w:w="5521" w:type="dxa"/>
            <w:noWrap w:val="0"/>
            <w:vAlign w:val="center"/>
          </w:tcPr>
          <w:p w14:paraId="74DB0F4E">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355AD236">
        <w:trPr>
          <w:trHeight w:val="1011" w:hRule="atLeast"/>
          <w:jc w:val="center"/>
        </w:trPr>
        <w:tc>
          <w:tcPr>
            <w:tcW w:w="900" w:type="dxa"/>
            <w:vMerge w:val="continue"/>
            <w:noWrap w:val="0"/>
            <w:vAlign w:val="center"/>
          </w:tcPr>
          <w:p w14:paraId="3B7D7E8C">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3982D48F">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0607227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其他项目管理机构</w:t>
            </w:r>
          </w:p>
          <w:p w14:paraId="5D1F919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及人员</w:t>
            </w:r>
          </w:p>
        </w:tc>
        <w:tc>
          <w:tcPr>
            <w:tcW w:w="5521" w:type="dxa"/>
            <w:noWrap w:val="0"/>
            <w:vAlign w:val="center"/>
          </w:tcPr>
          <w:p w14:paraId="651A43DE">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77BABC9F">
        <w:trPr>
          <w:trHeight w:val="553" w:hRule="atLeast"/>
          <w:jc w:val="center"/>
        </w:trPr>
        <w:tc>
          <w:tcPr>
            <w:tcW w:w="900" w:type="dxa"/>
            <w:vMerge w:val="continue"/>
            <w:noWrap w:val="0"/>
            <w:vAlign w:val="center"/>
          </w:tcPr>
          <w:p w14:paraId="411A61A0">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7FB8223C">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413F97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其他要求</w:t>
            </w:r>
          </w:p>
        </w:tc>
        <w:tc>
          <w:tcPr>
            <w:tcW w:w="5521" w:type="dxa"/>
            <w:noWrap w:val="0"/>
            <w:vAlign w:val="center"/>
          </w:tcPr>
          <w:p w14:paraId="013C6D39">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7A39789F">
        <w:trPr>
          <w:trHeight w:val="774" w:hRule="atLeast"/>
          <w:jc w:val="center"/>
        </w:trPr>
        <w:tc>
          <w:tcPr>
            <w:tcW w:w="900" w:type="dxa"/>
            <w:vMerge w:val="continue"/>
            <w:noWrap w:val="0"/>
            <w:vAlign w:val="center"/>
          </w:tcPr>
          <w:p w14:paraId="1AB9A2AD">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71553211">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25ECBDE6">
            <w:pPr>
              <w:spacing w:line="240" w:lineRule="auto"/>
              <w:contextualSpacing/>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不存在禁止</w:t>
            </w:r>
          </w:p>
          <w:p w14:paraId="4630A4DC">
            <w:pPr>
              <w:spacing w:line="240" w:lineRule="auto"/>
              <w:contextualSpacing/>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投标的情形</w:t>
            </w:r>
          </w:p>
        </w:tc>
        <w:tc>
          <w:tcPr>
            <w:tcW w:w="5521" w:type="dxa"/>
            <w:noWrap w:val="0"/>
            <w:vAlign w:val="center"/>
          </w:tcPr>
          <w:p w14:paraId="28EBAF08">
            <w:pPr>
              <w:spacing w:line="240" w:lineRule="auto"/>
              <w:contextualSpacing/>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不存在第二章“投标人须知”第1.4.3项规定的任何一种情形</w:t>
            </w:r>
          </w:p>
        </w:tc>
      </w:tr>
      <w:tr w14:paraId="2FBB779E">
        <w:trPr>
          <w:trHeight w:val="20" w:hRule="atLeast"/>
          <w:jc w:val="center"/>
        </w:trPr>
        <w:tc>
          <w:tcPr>
            <w:tcW w:w="900" w:type="dxa"/>
            <w:vMerge w:val="restart"/>
            <w:noWrap w:val="0"/>
            <w:vAlign w:val="center"/>
          </w:tcPr>
          <w:p w14:paraId="0832E53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2.1.3</w:t>
            </w:r>
          </w:p>
        </w:tc>
        <w:tc>
          <w:tcPr>
            <w:tcW w:w="1124" w:type="dxa"/>
            <w:gridSpan w:val="2"/>
            <w:vMerge w:val="restart"/>
            <w:noWrap w:val="0"/>
            <w:vAlign w:val="center"/>
          </w:tcPr>
          <w:p w14:paraId="14A5F03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响应性评审标准</w:t>
            </w:r>
          </w:p>
        </w:tc>
        <w:tc>
          <w:tcPr>
            <w:tcW w:w="1945" w:type="dxa"/>
            <w:noWrap w:val="0"/>
            <w:vAlign w:val="center"/>
          </w:tcPr>
          <w:p w14:paraId="6451427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投标报价</w:t>
            </w:r>
          </w:p>
        </w:tc>
        <w:tc>
          <w:tcPr>
            <w:tcW w:w="5521" w:type="dxa"/>
            <w:noWrap w:val="0"/>
            <w:vAlign w:val="center"/>
          </w:tcPr>
          <w:p w14:paraId="4DB3ECBA">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符合第二章“投标人须知”第3.2项规定</w:t>
            </w:r>
          </w:p>
        </w:tc>
      </w:tr>
      <w:tr w14:paraId="69FCEA9C">
        <w:trPr>
          <w:trHeight w:val="20" w:hRule="atLeast"/>
          <w:jc w:val="center"/>
        </w:trPr>
        <w:tc>
          <w:tcPr>
            <w:tcW w:w="900" w:type="dxa"/>
            <w:vMerge w:val="continue"/>
            <w:noWrap w:val="0"/>
            <w:vAlign w:val="center"/>
          </w:tcPr>
          <w:p w14:paraId="1A5A3154">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4C53D37E">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2618DB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投标内容</w:t>
            </w:r>
          </w:p>
        </w:tc>
        <w:tc>
          <w:tcPr>
            <w:tcW w:w="5521" w:type="dxa"/>
            <w:noWrap w:val="0"/>
            <w:vAlign w:val="center"/>
          </w:tcPr>
          <w:p w14:paraId="1B2474D7">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符合第二章“投标人须知”第1.3.1项规定</w:t>
            </w:r>
          </w:p>
        </w:tc>
      </w:tr>
      <w:tr w14:paraId="2495CFAF">
        <w:trPr>
          <w:trHeight w:val="20" w:hRule="atLeast"/>
          <w:jc w:val="center"/>
        </w:trPr>
        <w:tc>
          <w:tcPr>
            <w:tcW w:w="900" w:type="dxa"/>
            <w:vMerge w:val="continue"/>
            <w:noWrap w:val="0"/>
            <w:vAlign w:val="center"/>
          </w:tcPr>
          <w:p w14:paraId="2D9765F8">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1D1AA1B6">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4DB91C8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工期</w:t>
            </w:r>
          </w:p>
        </w:tc>
        <w:tc>
          <w:tcPr>
            <w:tcW w:w="5521" w:type="dxa"/>
            <w:noWrap w:val="0"/>
            <w:vAlign w:val="center"/>
          </w:tcPr>
          <w:p w14:paraId="26641640">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符合第二章“投标人须知”第1.3.2项规定</w:t>
            </w:r>
          </w:p>
        </w:tc>
      </w:tr>
      <w:tr w14:paraId="66341230">
        <w:trPr>
          <w:trHeight w:val="20" w:hRule="atLeast"/>
          <w:jc w:val="center"/>
        </w:trPr>
        <w:tc>
          <w:tcPr>
            <w:tcW w:w="900" w:type="dxa"/>
            <w:vMerge w:val="continue"/>
            <w:noWrap w:val="0"/>
            <w:vAlign w:val="center"/>
          </w:tcPr>
          <w:p w14:paraId="1EB5D660">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41172AC3">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CC9A07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质量标准</w:t>
            </w:r>
          </w:p>
        </w:tc>
        <w:tc>
          <w:tcPr>
            <w:tcW w:w="5521" w:type="dxa"/>
            <w:noWrap w:val="0"/>
            <w:vAlign w:val="center"/>
          </w:tcPr>
          <w:p w14:paraId="16465F3E">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符合第二章“投标人须知”第1.3.3项规定</w:t>
            </w:r>
          </w:p>
        </w:tc>
      </w:tr>
      <w:tr w14:paraId="134D9B08">
        <w:trPr>
          <w:trHeight w:val="20" w:hRule="atLeast"/>
          <w:jc w:val="center"/>
        </w:trPr>
        <w:tc>
          <w:tcPr>
            <w:tcW w:w="900" w:type="dxa"/>
            <w:vMerge w:val="continue"/>
            <w:noWrap w:val="0"/>
            <w:vAlign w:val="center"/>
          </w:tcPr>
          <w:p w14:paraId="5FCEBF8F">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6EBC3185">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8705FA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投标有效期</w:t>
            </w:r>
          </w:p>
        </w:tc>
        <w:tc>
          <w:tcPr>
            <w:tcW w:w="5521" w:type="dxa"/>
            <w:noWrap w:val="0"/>
            <w:vAlign w:val="center"/>
          </w:tcPr>
          <w:p w14:paraId="50E5AE01">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180日历天</w:t>
            </w:r>
          </w:p>
        </w:tc>
      </w:tr>
      <w:tr w14:paraId="62FFD376">
        <w:trPr>
          <w:trHeight w:val="20" w:hRule="atLeast"/>
          <w:jc w:val="center"/>
        </w:trPr>
        <w:tc>
          <w:tcPr>
            <w:tcW w:w="900" w:type="dxa"/>
            <w:vMerge w:val="continue"/>
            <w:noWrap w:val="0"/>
            <w:vAlign w:val="center"/>
          </w:tcPr>
          <w:p w14:paraId="1FA2C257">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3E8575D1">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3DDC8CB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投标保证金</w:t>
            </w:r>
          </w:p>
        </w:tc>
        <w:tc>
          <w:tcPr>
            <w:tcW w:w="5521" w:type="dxa"/>
            <w:noWrap w:val="0"/>
            <w:vAlign w:val="center"/>
          </w:tcPr>
          <w:p w14:paraId="3F9DC50A">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符合第二章“投标人须知”第3.4款规定</w:t>
            </w:r>
          </w:p>
        </w:tc>
      </w:tr>
      <w:tr w14:paraId="7221C8BC">
        <w:trPr>
          <w:trHeight w:val="20" w:hRule="atLeast"/>
          <w:jc w:val="center"/>
        </w:trPr>
        <w:tc>
          <w:tcPr>
            <w:tcW w:w="900" w:type="dxa"/>
            <w:vMerge w:val="continue"/>
            <w:noWrap w:val="0"/>
            <w:vAlign w:val="center"/>
          </w:tcPr>
          <w:p w14:paraId="04AE9A94">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56161FBE">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2E1F682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权利义务</w:t>
            </w:r>
          </w:p>
        </w:tc>
        <w:tc>
          <w:tcPr>
            <w:tcW w:w="5521" w:type="dxa"/>
            <w:noWrap w:val="0"/>
            <w:vAlign w:val="center"/>
          </w:tcPr>
          <w:p w14:paraId="415FB74E">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符合第四章“合同条款及格式”规定的权利义务</w:t>
            </w:r>
          </w:p>
        </w:tc>
      </w:tr>
      <w:tr w14:paraId="65C163D7">
        <w:trPr>
          <w:trHeight w:val="20" w:hRule="atLeast"/>
          <w:jc w:val="center"/>
        </w:trPr>
        <w:tc>
          <w:tcPr>
            <w:tcW w:w="900" w:type="dxa"/>
            <w:vMerge w:val="continue"/>
            <w:noWrap w:val="0"/>
            <w:vAlign w:val="center"/>
          </w:tcPr>
          <w:p w14:paraId="635B5D24">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482DA1A1">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154FCDA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其他情形</w:t>
            </w:r>
          </w:p>
        </w:tc>
        <w:tc>
          <w:tcPr>
            <w:tcW w:w="5521" w:type="dxa"/>
            <w:noWrap w:val="0"/>
            <w:vAlign w:val="center"/>
          </w:tcPr>
          <w:p w14:paraId="7BAA5FE5">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不存在招标文件</w:t>
            </w:r>
            <w:r>
              <w:rPr>
                <w:rFonts w:hint="eastAsia" w:ascii="宋体" w:hAnsi="宋体" w:eastAsia="宋体" w:cs="宋体"/>
                <w:bCs/>
                <w:color w:val="auto"/>
                <w:szCs w:val="21"/>
                <w:highlight w:val="none"/>
              </w:rPr>
              <w:t>第三章</w:t>
            </w:r>
            <w:r>
              <w:rPr>
                <w:rFonts w:hint="eastAsia" w:ascii="宋体" w:hAnsi="宋体" w:eastAsia="宋体" w:cs="宋体"/>
                <w:color w:val="auto"/>
                <w:szCs w:val="21"/>
                <w:highlight w:val="none"/>
              </w:rPr>
              <w:t>评标办法第3.1.2款、第3.1.3款规定的任何一种情形</w:t>
            </w:r>
          </w:p>
        </w:tc>
      </w:tr>
      <w:tr w14:paraId="70E8317F">
        <w:trPr>
          <w:trHeight w:val="20" w:hRule="atLeast"/>
          <w:jc w:val="center"/>
        </w:trPr>
        <w:tc>
          <w:tcPr>
            <w:tcW w:w="2024" w:type="dxa"/>
            <w:gridSpan w:val="3"/>
            <w:noWrap w:val="0"/>
            <w:vAlign w:val="center"/>
          </w:tcPr>
          <w:p w14:paraId="54FE53A5">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条款号</w:t>
            </w:r>
          </w:p>
        </w:tc>
        <w:tc>
          <w:tcPr>
            <w:tcW w:w="1945" w:type="dxa"/>
            <w:noWrap w:val="0"/>
            <w:vAlign w:val="center"/>
          </w:tcPr>
          <w:p w14:paraId="1F944D1F">
            <w:pPr>
              <w:spacing w:line="240" w:lineRule="auto"/>
              <w:jc w:val="center"/>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条款内容</w:t>
            </w:r>
          </w:p>
        </w:tc>
        <w:tc>
          <w:tcPr>
            <w:tcW w:w="5521" w:type="dxa"/>
            <w:noWrap w:val="0"/>
            <w:vAlign w:val="center"/>
          </w:tcPr>
          <w:p w14:paraId="34B91A17">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编列内容</w:t>
            </w:r>
          </w:p>
        </w:tc>
      </w:tr>
      <w:tr w14:paraId="670D0F9E">
        <w:trPr>
          <w:trHeight w:val="90" w:hRule="atLeast"/>
          <w:jc w:val="center"/>
        </w:trPr>
        <w:tc>
          <w:tcPr>
            <w:tcW w:w="2024" w:type="dxa"/>
            <w:gridSpan w:val="3"/>
            <w:noWrap w:val="0"/>
            <w:vAlign w:val="center"/>
          </w:tcPr>
          <w:p w14:paraId="4621D27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2.2.1</w:t>
            </w:r>
          </w:p>
        </w:tc>
        <w:tc>
          <w:tcPr>
            <w:tcW w:w="1945" w:type="dxa"/>
            <w:noWrap w:val="0"/>
            <w:vAlign w:val="center"/>
          </w:tcPr>
          <w:p w14:paraId="1C1D06C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分值构成</w:t>
            </w:r>
          </w:p>
          <w:p w14:paraId="1D7473E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(总分100分)</w:t>
            </w:r>
          </w:p>
        </w:tc>
        <w:tc>
          <w:tcPr>
            <w:tcW w:w="5521" w:type="dxa"/>
            <w:noWrap w:val="0"/>
            <w:vAlign w:val="center"/>
          </w:tcPr>
          <w:p w14:paraId="06956551">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一、投标报价：</w:t>
            </w:r>
            <w:r>
              <w:rPr>
                <w:rFonts w:hint="eastAsia" w:ascii="宋体" w:hAnsi="宋体" w:eastAsia="宋体" w:cs="宋体"/>
                <w:b/>
                <w:bCs/>
                <w:color w:val="auto"/>
                <w:szCs w:val="21"/>
                <w:highlight w:val="none"/>
              </w:rPr>
              <w:t>45</w:t>
            </w:r>
            <w:r>
              <w:rPr>
                <w:rFonts w:hint="eastAsia" w:ascii="宋体" w:hAnsi="宋体" w:eastAsia="宋体" w:cs="宋体"/>
                <w:color w:val="auto"/>
                <w:szCs w:val="21"/>
                <w:highlight w:val="none"/>
              </w:rPr>
              <w:t>分</w:t>
            </w:r>
          </w:p>
          <w:p w14:paraId="367210DF">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二、商务部分：</w:t>
            </w:r>
            <w:r>
              <w:rPr>
                <w:rFonts w:hint="eastAsia" w:ascii="宋体" w:hAnsi="宋体" w:eastAsia="宋体" w:cs="宋体"/>
                <w:b/>
                <w:bCs/>
                <w:color w:val="auto"/>
                <w:szCs w:val="21"/>
                <w:highlight w:val="none"/>
              </w:rPr>
              <w:t>15</w:t>
            </w:r>
            <w:r>
              <w:rPr>
                <w:rFonts w:hint="eastAsia" w:ascii="宋体" w:hAnsi="宋体" w:eastAsia="宋体" w:cs="宋体"/>
                <w:color w:val="auto"/>
                <w:szCs w:val="21"/>
                <w:highlight w:val="none"/>
              </w:rPr>
              <w:t>分</w:t>
            </w:r>
          </w:p>
          <w:p w14:paraId="7354E9C6">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三、技术方案：</w:t>
            </w:r>
            <w:r>
              <w:rPr>
                <w:rFonts w:hint="eastAsia" w:ascii="宋体" w:hAnsi="宋体" w:eastAsia="宋体" w:cs="宋体"/>
                <w:b/>
                <w:bCs/>
                <w:color w:val="auto"/>
                <w:szCs w:val="21"/>
                <w:highlight w:val="none"/>
              </w:rPr>
              <w:t>40</w:t>
            </w:r>
            <w:r>
              <w:rPr>
                <w:rFonts w:hint="eastAsia" w:ascii="宋体" w:hAnsi="宋体" w:eastAsia="宋体" w:cs="宋体"/>
                <w:color w:val="auto"/>
                <w:szCs w:val="21"/>
                <w:highlight w:val="none"/>
              </w:rPr>
              <w:t>分</w:t>
            </w:r>
          </w:p>
        </w:tc>
      </w:tr>
      <w:tr w14:paraId="62FF7ED7">
        <w:trPr>
          <w:trHeight w:val="20" w:hRule="atLeast"/>
          <w:jc w:val="center"/>
        </w:trPr>
        <w:tc>
          <w:tcPr>
            <w:tcW w:w="2024" w:type="dxa"/>
            <w:gridSpan w:val="3"/>
            <w:noWrap w:val="0"/>
            <w:vAlign w:val="center"/>
          </w:tcPr>
          <w:p w14:paraId="7A57088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2.2.2</w:t>
            </w:r>
          </w:p>
        </w:tc>
        <w:tc>
          <w:tcPr>
            <w:tcW w:w="1945" w:type="dxa"/>
            <w:noWrap w:val="0"/>
            <w:vAlign w:val="center"/>
          </w:tcPr>
          <w:p w14:paraId="723F669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评标基准价计算方法</w:t>
            </w:r>
          </w:p>
        </w:tc>
        <w:tc>
          <w:tcPr>
            <w:tcW w:w="5521" w:type="dxa"/>
            <w:noWrap w:val="0"/>
            <w:vAlign w:val="center"/>
          </w:tcPr>
          <w:p w14:paraId="033DF8A5">
            <w:pPr>
              <w:spacing w:line="240" w:lineRule="auto"/>
              <w:rPr>
                <w:rFonts w:hint="eastAsia" w:ascii="宋体" w:hAnsi="宋体" w:eastAsia="宋体" w:cs="宋体"/>
                <w:color w:val="auto"/>
                <w:highlight w:val="none"/>
              </w:rPr>
            </w:pPr>
            <w:r>
              <w:rPr>
                <w:rFonts w:hint="eastAsia" w:ascii="宋体" w:hAnsi="宋体" w:eastAsia="宋体" w:cs="宋体"/>
                <w:color w:val="auto"/>
                <w:kern w:val="0"/>
                <w:szCs w:val="21"/>
                <w:highlight w:val="none"/>
              </w:rPr>
              <w:t>评标基准价为通过初步评审的所有有效投标报价的算术平均值。</w:t>
            </w:r>
          </w:p>
        </w:tc>
      </w:tr>
      <w:tr w14:paraId="3EDE7D6D">
        <w:trPr>
          <w:trHeight w:val="20" w:hRule="atLeast"/>
          <w:jc w:val="center"/>
        </w:trPr>
        <w:tc>
          <w:tcPr>
            <w:tcW w:w="2024" w:type="dxa"/>
            <w:gridSpan w:val="3"/>
            <w:noWrap w:val="0"/>
            <w:vAlign w:val="center"/>
          </w:tcPr>
          <w:p w14:paraId="6E0E09B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2.2.3</w:t>
            </w:r>
          </w:p>
        </w:tc>
        <w:tc>
          <w:tcPr>
            <w:tcW w:w="1945" w:type="dxa"/>
            <w:noWrap w:val="0"/>
            <w:vAlign w:val="center"/>
          </w:tcPr>
          <w:p w14:paraId="38F78AC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投标报价的偏差率</w:t>
            </w:r>
          </w:p>
          <w:p w14:paraId="2DFD0BA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计算公式</w:t>
            </w:r>
          </w:p>
        </w:tc>
        <w:tc>
          <w:tcPr>
            <w:tcW w:w="5521" w:type="dxa"/>
            <w:noWrap w:val="0"/>
            <w:vAlign w:val="center"/>
          </w:tcPr>
          <w:p w14:paraId="4CEAB880">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偏差率=[（投标报价/评标基准价）-1]×100％</w:t>
            </w:r>
          </w:p>
        </w:tc>
      </w:tr>
      <w:tr w14:paraId="73BC784E">
        <w:trPr>
          <w:trHeight w:val="1755" w:hRule="atLeast"/>
          <w:jc w:val="center"/>
        </w:trPr>
        <w:tc>
          <w:tcPr>
            <w:tcW w:w="1012" w:type="dxa"/>
            <w:gridSpan w:val="2"/>
            <w:noWrap w:val="0"/>
            <w:vAlign w:val="center"/>
          </w:tcPr>
          <w:p w14:paraId="04DE147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2.2.4</w:t>
            </w:r>
          </w:p>
        </w:tc>
        <w:tc>
          <w:tcPr>
            <w:tcW w:w="1012" w:type="dxa"/>
            <w:noWrap w:val="0"/>
            <w:vAlign w:val="center"/>
          </w:tcPr>
          <w:p w14:paraId="3831610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投标报价</w:t>
            </w:r>
          </w:p>
        </w:tc>
        <w:tc>
          <w:tcPr>
            <w:tcW w:w="1945" w:type="dxa"/>
            <w:noWrap w:val="0"/>
            <w:vAlign w:val="center"/>
          </w:tcPr>
          <w:p w14:paraId="61A39AB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投标报价评分标准</w:t>
            </w:r>
            <w:r>
              <w:rPr>
                <w:rFonts w:hint="eastAsia" w:ascii="宋体" w:hAnsi="宋体" w:eastAsia="宋体" w:cs="宋体"/>
                <w:color w:val="auto"/>
                <w:szCs w:val="21"/>
                <w:highlight w:val="none"/>
                <w:lang w:val="en-US" w:eastAsia="zh-CN"/>
              </w:rPr>
              <w:t>45</w:t>
            </w:r>
            <w:r>
              <w:rPr>
                <w:rFonts w:hint="eastAsia" w:ascii="宋体" w:hAnsi="宋体" w:eastAsia="宋体" w:cs="宋体"/>
                <w:color w:val="auto"/>
                <w:szCs w:val="21"/>
                <w:highlight w:val="none"/>
              </w:rPr>
              <w:t>分</w:t>
            </w:r>
          </w:p>
        </w:tc>
        <w:tc>
          <w:tcPr>
            <w:tcW w:w="5521" w:type="dxa"/>
            <w:noWrap w:val="0"/>
            <w:vAlign w:val="center"/>
          </w:tcPr>
          <w:p w14:paraId="4615778D">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1、偏差率=0，投标报价得分=40分；</w:t>
            </w:r>
          </w:p>
          <w:p w14:paraId="3A01FD65">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2、偏差率＞0，每偏差1%扣0.</w:t>
            </w:r>
            <w:r>
              <w:rPr>
                <w:rFonts w:hint="default" w:ascii="宋体" w:hAnsi="宋体" w:eastAsia="宋体" w:cs="宋体"/>
                <w:color w:val="auto"/>
                <w:szCs w:val="21"/>
                <w:highlight w:val="none"/>
              </w:rPr>
              <w:t>5</w:t>
            </w:r>
            <w:r>
              <w:rPr>
                <w:rFonts w:hint="eastAsia" w:ascii="宋体" w:hAnsi="宋体" w:eastAsia="宋体" w:cs="宋体"/>
                <w:color w:val="auto"/>
                <w:szCs w:val="21"/>
                <w:highlight w:val="none"/>
              </w:rPr>
              <w:t>分，</w:t>
            </w:r>
            <w:r>
              <w:rPr>
                <w:rFonts w:hint="eastAsia" w:ascii="宋体" w:hAnsi="宋体" w:eastAsia="宋体" w:cs="宋体"/>
                <w:color w:val="auto"/>
                <w:spacing w:val="-9"/>
                <w:szCs w:val="21"/>
                <w:highlight w:val="none"/>
              </w:rPr>
              <w:t>不足</w:t>
            </w:r>
            <w:r>
              <w:rPr>
                <w:rFonts w:hint="eastAsia" w:ascii="宋体" w:hAnsi="宋体" w:eastAsia="宋体" w:cs="宋体"/>
                <w:color w:val="auto"/>
                <w:szCs w:val="21"/>
                <w:highlight w:val="none"/>
              </w:rPr>
              <w:t>1</w:t>
            </w:r>
            <w:r>
              <w:rPr>
                <w:rFonts w:hint="eastAsia" w:ascii="宋体" w:hAnsi="宋体" w:eastAsia="宋体" w:cs="宋体"/>
                <w:color w:val="auto"/>
                <w:spacing w:val="-3"/>
                <w:szCs w:val="21"/>
                <w:highlight w:val="none"/>
              </w:rPr>
              <w:t>%按内插法</w:t>
            </w:r>
            <w:r>
              <w:rPr>
                <w:rFonts w:hint="eastAsia" w:ascii="宋体" w:hAnsi="宋体" w:eastAsia="宋体" w:cs="宋体"/>
                <w:color w:val="auto"/>
                <w:spacing w:val="-7"/>
                <w:szCs w:val="21"/>
                <w:highlight w:val="none"/>
              </w:rPr>
              <w:t>计，</w:t>
            </w:r>
            <w:r>
              <w:rPr>
                <w:rFonts w:hint="eastAsia" w:ascii="宋体" w:hAnsi="宋体" w:eastAsia="宋体" w:cs="宋体"/>
                <w:color w:val="auto"/>
                <w:szCs w:val="21"/>
                <w:highlight w:val="none"/>
              </w:rPr>
              <w:t>报价部分得分=40-扣分分值，扣完为止。</w:t>
            </w:r>
          </w:p>
          <w:p w14:paraId="5147260E">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3、偏差率＜0，每偏差1%加0.</w:t>
            </w:r>
            <w:r>
              <w:rPr>
                <w:rFonts w:hint="default" w:ascii="宋体" w:hAnsi="宋体" w:eastAsia="宋体" w:cs="宋体"/>
                <w:color w:val="auto"/>
                <w:szCs w:val="21"/>
                <w:highlight w:val="none"/>
              </w:rPr>
              <w:t>3</w:t>
            </w:r>
            <w:r>
              <w:rPr>
                <w:rFonts w:hint="eastAsia" w:ascii="宋体" w:hAnsi="宋体" w:eastAsia="宋体" w:cs="宋体"/>
                <w:color w:val="auto"/>
                <w:szCs w:val="21"/>
                <w:highlight w:val="none"/>
              </w:rPr>
              <w:t>分，</w:t>
            </w:r>
            <w:r>
              <w:rPr>
                <w:rFonts w:hint="eastAsia" w:ascii="宋体" w:hAnsi="宋体" w:eastAsia="宋体" w:cs="宋体"/>
                <w:color w:val="auto"/>
                <w:spacing w:val="-9"/>
                <w:szCs w:val="21"/>
                <w:highlight w:val="none"/>
              </w:rPr>
              <w:t>不足</w:t>
            </w:r>
            <w:r>
              <w:rPr>
                <w:rFonts w:hint="eastAsia" w:ascii="宋体" w:hAnsi="宋体" w:eastAsia="宋体" w:cs="宋体"/>
                <w:color w:val="auto"/>
                <w:szCs w:val="21"/>
                <w:highlight w:val="none"/>
              </w:rPr>
              <w:t>1</w:t>
            </w:r>
            <w:r>
              <w:rPr>
                <w:rFonts w:hint="eastAsia" w:ascii="宋体" w:hAnsi="宋体" w:eastAsia="宋体" w:cs="宋体"/>
                <w:color w:val="auto"/>
                <w:spacing w:val="-3"/>
                <w:szCs w:val="21"/>
                <w:highlight w:val="none"/>
              </w:rPr>
              <w:t>%按内插法</w:t>
            </w:r>
            <w:r>
              <w:rPr>
                <w:rFonts w:hint="eastAsia" w:ascii="宋体" w:hAnsi="宋体" w:eastAsia="宋体" w:cs="宋体"/>
                <w:color w:val="auto"/>
                <w:spacing w:val="-7"/>
                <w:szCs w:val="21"/>
                <w:highlight w:val="none"/>
              </w:rPr>
              <w:t>计，</w:t>
            </w:r>
            <w:r>
              <w:rPr>
                <w:rFonts w:hint="eastAsia" w:ascii="宋体" w:hAnsi="宋体" w:eastAsia="宋体" w:cs="宋体"/>
                <w:color w:val="auto"/>
                <w:szCs w:val="21"/>
                <w:highlight w:val="none"/>
              </w:rPr>
              <w:t>报价部分得分=40+加分分值，满分45分。</w:t>
            </w:r>
          </w:p>
        </w:tc>
      </w:tr>
      <w:tr w14:paraId="0E1EE515">
        <w:trPr>
          <w:trHeight w:val="90" w:hRule="atLeast"/>
          <w:jc w:val="center"/>
        </w:trPr>
        <w:tc>
          <w:tcPr>
            <w:tcW w:w="1012" w:type="dxa"/>
            <w:gridSpan w:val="2"/>
            <w:vMerge w:val="restart"/>
            <w:noWrap w:val="0"/>
            <w:vAlign w:val="center"/>
          </w:tcPr>
          <w:p w14:paraId="42F3926D">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2.2.4</w:t>
            </w:r>
          </w:p>
        </w:tc>
        <w:tc>
          <w:tcPr>
            <w:tcW w:w="1012" w:type="dxa"/>
            <w:vMerge w:val="restart"/>
            <w:noWrap w:val="0"/>
            <w:vAlign w:val="center"/>
          </w:tcPr>
          <w:p w14:paraId="055A6A2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商务部分评分标准</w:t>
            </w:r>
          </w:p>
          <w:p w14:paraId="44C9F93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（15分）</w:t>
            </w:r>
          </w:p>
          <w:p w14:paraId="5CDBF155">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43644AA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报价准确性及合理性</w:t>
            </w:r>
            <w:r>
              <w:rPr>
                <w:rFonts w:hint="eastAsia" w:ascii="宋体" w:hAnsi="宋体" w:eastAsia="宋体" w:cs="宋体"/>
                <w:color w:val="auto"/>
                <w:szCs w:val="21"/>
                <w:highlight w:val="none"/>
                <w:lang w:val="en-US" w:eastAsia="zh-CN"/>
              </w:rPr>
              <w:t>4</w:t>
            </w:r>
            <w:r>
              <w:rPr>
                <w:rFonts w:hint="eastAsia" w:ascii="宋体" w:hAnsi="宋体" w:eastAsia="宋体" w:cs="宋体"/>
                <w:color w:val="auto"/>
                <w:szCs w:val="21"/>
                <w:highlight w:val="none"/>
              </w:rPr>
              <w:t>分</w:t>
            </w:r>
          </w:p>
        </w:tc>
        <w:tc>
          <w:tcPr>
            <w:tcW w:w="5521" w:type="dxa"/>
            <w:noWrap w:val="0"/>
            <w:vAlign w:val="center"/>
          </w:tcPr>
          <w:p w14:paraId="21CE4E87">
            <w:pPr>
              <w:spacing w:line="360" w:lineRule="exact"/>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根据招标文件报价清单模版编写投标文件报价清单，综合对比各投标人报价清单内容的详尽程度、建安工程、安装工程等投标报价的准确性、合理性酌情打分（1-</w:t>
            </w:r>
            <w:r>
              <w:rPr>
                <w:rFonts w:hint="eastAsia" w:ascii="宋体" w:hAnsi="宋体" w:eastAsia="宋体" w:cs="宋体"/>
                <w:color w:val="auto"/>
                <w:szCs w:val="21"/>
                <w:highlight w:val="none"/>
                <w:lang w:val="en-US" w:eastAsia="zh-CN"/>
              </w:rPr>
              <w:t>4</w:t>
            </w:r>
            <w:r>
              <w:rPr>
                <w:rFonts w:hint="eastAsia" w:ascii="宋体" w:hAnsi="宋体" w:eastAsia="宋体" w:cs="宋体"/>
                <w:color w:val="auto"/>
                <w:szCs w:val="21"/>
                <w:highlight w:val="none"/>
              </w:rPr>
              <w:t>分），投标报价一览表，报价清单中表一甲、表二甲、表二乙必须按照清单内容填写；清单其它表如有增项可单独列出；如未按照要求填写得0分。</w:t>
            </w:r>
          </w:p>
        </w:tc>
      </w:tr>
      <w:tr w14:paraId="6DFF1F6A">
        <w:trPr>
          <w:trHeight w:val="20" w:hRule="atLeast"/>
          <w:jc w:val="center"/>
        </w:trPr>
        <w:tc>
          <w:tcPr>
            <w:tcW w:w="1012" w:type="dxa"/>
            <w:gridSpan w:val="2"/>
            <w:vMerge w:val="continue"/>
            <w:noWrap w:val="0"/>
            <w:vAlign w:val="top"/>
          </w:tcPr>
          <w:p w14:paraId="4EEB6A32">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373CE63A">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6139E3B">
            <w:pPr>
              <w:widowControl/>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设计业绩</w:t>
            </w:r>
          </w:p>
          <w:p w14:paraId="1E8ECF26">
            <w:pPr>
              <w:widowControl/>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lang w:eastAsia="zh-CN"/>
              </w:rPr>
              <w:t>1</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tc>
        <w:tc>
          <w:tcPr>
            <w:tcW w:w="5521" w:type="dxa"/>
            <w:noWrap w:val="0"/>
            <w:vAlign w:val="center"/>
          </w:tcPr>
          <w:p w14:paraId="08F17E74">
            <w:pPr>
              <w:pStyle w:val="31"/>
              <w:widowControl/>
              <w:spacing w:beforeLines="0" w:afterLines="0" w:line="360" w:lineRule="auto"/>
              <w:rPr>
                <w:rFonts w:hint="eastAsia" w:ascii="宋体" w:hAnsi="宋体" w:eastAsia="宋体" w:cs="宋体"/>
                <w:b w:val="0"/>
                <w:bCs w:val="0"/>
                <w:color w:val="auto"/>
                <w:sz w:val="21"/>
                <w:szCs w:val="21"/>
                <w:highlight w:val="none"/>
              </w:rPr>
            </w:pPr>
            <w:r>
              <w:rPr>
                <w:rFonts w:hint="eastAsia" w:ascii="宋体" w:hAnsi="宋体" w:eastAsia="宋体" w:cs="宋体"/>
                <w:color w:val="auto"/>
                <w:sz w:val="21"/>
                <w:szCs w:val="21"/>
                <w:highlight w:val="none"/>
              </w:rPr>
              <w:t>在满足资格要求的基础上，投标人自202</w:t>
            </w:r>
            <w:r>
              <w:rPr>
                <w:rFonts w:hint="eastAsia" w:ascii="宋体" w:hAnsi="宋体" w:eastAsia="宋体" w:cs="宋体"/>
                <w:color w:val="auto"/>
                <w:sz w:val="21"/>
                <w:szCs w:val="21"/>
                <w:highlight w:val="none"/>
                <w:lang w:val="en-US" w:eastAsia="zh-CN"/>
              </w:rPr>
              <w:t>1</w:t>
            </w:r>
            <w:r>
              <w:rPr>
                <w:rFonts w:hint="eastAsia" w:ascii="宋体" w:hAnsi="宋体" w:eastAsia="宋体" w:cs="宋体"/>
                <w:color w:val="auto"/>
                <w:sz w:val="21"/>
                <w:szCs w:val="21"/>
                <w:highlight w:val="none"/>
              </w:rPr>
              <w:t>年1月1日（含）至今每多提供1项</w:t>
            </w:r>
            <w:r>
              <w:rPr>
                <w:rFonts w:hint="eastAsia" w:ascii="宋体" w:hAnsi="宋体" w:eastAsia="宋体" w:cs="宋体"/>
                <w:color w:val="auto"/>
                <w:sz w:val="21"/>
                <w:szCs w:val="21"/>
                <w:highlight w:val="none"/>
                <w:lang w:val="en-US" w:eastAsia="zh-CN"/>
              </w:rPr>
              <w:t>单体容量</w:t>
            </w:r>
            <w:r>
              <w:rPr>
                <w:rFonts w:hint="eastAsia" w:ascii="宋体" w:hAnsi="宋体" w:eastAsia="宋体" w:cs="宋体"/>
                <w:color w:val="auto"/>
                <w:sz w:val="21"/>
                <w:szCs w:val="21"/>
                <w:highlight w:val="none"/>
              </w:rPr>
              <w:t>不低于100MW</w:t>
            </w:r>
            <w:r>
              <w:rPr>
                <w:rFonts w:hint="eastAsia" w:ascii="宋体" w:hAnsi="宋体" w:eastAsia="宋体" w:cs="宋体"/>
                <w:color w:val="auto"/>
                <w:kern w:val="2"/>
                <w:sz w:val="21"/>
                <w:szCs w:val="21"/>
                <w:highlight w:val="none"/>
                <w:vertAlign w:val="baseline"/>
                <w:lang w:val="en-US" w:eastAsia="zh-CN" w:bidi="ar-SA"/>
              </w:rPr>
              <w:t>（直流侧或交流侧其中一侧须满足以上容量要求）</w:t>
            </w:r>
            <w:r>
              <w:rPr>
                <w:rFonts w:hint="eastAsia" w:ascii="宋体" w:hAnsi="宋体" w:eastAsia="宋体" w:cs="宋体"/>
                <w:color w:val="auto"/>
                <w:sz w:val="21"/>
                <w:szCs w:val="21"/>
                <w:highlight w:val="none"/>
              </w:rPr>
              <w:t>光伏电站</w:t>
            </w:r>
            <w:r>
              <w:rPr>
                <w:rFonts w:hint="eastAsia" w:ascii="宋体" w:hAnsi="宋体" w:eastAsia="宋体" w:cs="宋体"/>
                <w:color w:val="auto"/>
                <w:sz w:val="21"/>
                <w:szCs w:val="21"/>
                <w:highlight w:val="none"/>
                <w:lang w:eastAsia="zh-CN"/>
              </w:rPr>
              <w:t>设计或EPC总承包业绩</w:t>
            </w:r>
            <w:r>
              <w:rPr>
                <w:rFonts w:hint="eastAsia" w:ascii="宋体" w:hAnsi="宋体" w:eastAsia="宋体" w:cs="宋体"/>
                <w:color w:val="auto"/>
                <w:sz w:val="21"/>
                <w:szCs w:val="21"/>
                <w:highlight w:val="none"/>
              </w:rPr>
              <w:t>得0.5分，最高得1.5分。</w:t>
            </w:r>
            <w:r>
              <w:rPr>
                <w:rFonts w:hint="eastAsia" w:ascii="宋体" w:hAnsi="宋体" w:eastAsia="宋体" w:cs="宋体"/>
                <w:b/>
                <w:bCs/>
                <w:color w:val="auto"/>
                <w:sz w:val="21"/>
                <w:szCs w:val="21"/>
                <w:highlight w:val="none"/>
              </w:rPr>
              <w:t>所提供的设计业绩均无重大质量事故和生产安全事故，提供设计业绩无重大质量事故和生产安全事故承诺书</w:t>
            </w:r>
            <w:r>
              <w:rPr>
                <w:rFonts w:hint="eastAsia" w:ascii="宋体" w:hAnsi="宋体" w:eastAsia="宋体" w:cs="宋体"/>
                <w:b/>
                <w:bCs/>
                <w:color w:val="auto"/>
                <w:sz w:val="21"/>
                <w:szCs w:val="21"/>
                <w:highlight w:val="none"/>
                <w:lang w:eastAsia="zh-CN"/>
              </w:rPr>
              <w:t>。</w:t>
            </w:r>
          </w:p>
          <w:p w14:paraId="6990F9CD">
            <w:pPr>
              <w:pStyle w:val="31"/>
              <w:widowControl/>
              <w:spacing w:beforeLines="0" w:afterLines="0" w:line="360" w:lineRule="auto"/>
              <w:rPr>
                <w:rFonts w:hint="eastAsia" w:ascii="宋体" w:hAnsi="宋体" w:eastAsia="宋体" w:cs="宋体"/>
                <w:color w:val="auto"/>
                <w:sz w:val="21"/>
                <w:szCs w:val="21"/>
                <w:highlight w:val="none"/>
              </w:rPr>
            </w:pPr>
            <w:r>
              <w:rPr>
                <w:rFonts w:hint="eastAsia" w:ascii="宋体" w:hAnsi="宋体" w:eastAsia="宋体" w:cs="宋体"/>
                <w:b/>
                <w:bCs/>
                <w:color w:val="auto"/>
                <w:sz w:val="21"/>
                <w:szCs w:val="21"/>
                <w:highlight w:val="none"/>
              </w:rPr>
              <w:t>注：业绩须提供合同证明（提供合同关键页，须体现发包人名称、项目名称、项目规模、设计范围、签字盖章等信息，业绩时间以合同签订日期为准，合同中未体现项目直流侧或交流侧装机容量的须提供证明材料）。联合体投标时，设计业绩必须由联合体协议书中约定承担设计工作且满足本项目设计资质要求的联合体成员提供。</w:t>
            </w:r>
          </w:p>
        </w:tc>
      </w:tr>
      <w:tr w14:paraId="04D338B7">
        <w:trPr>
          <w:trHeight w:val="20" w:hRule="atLeast"/>
          <w:jc w:val="center"/>
        </w:trPr>
        <w:tc>
          <w:tcPr>
            <w:tcW w:w="1012" w:type="dxa"/>
            <w:gridSpan w:val="2"/>
            <w:vMerge w:val="continue"/>
            <w:noWrap w:val="0"/>
            <w:vAlign w:val="top"/>
          </w:tcPr>
          <w:p w14:paraId="3104489C">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4B42D79C">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58D2CD01">
            <w:pPr>
              <w:widowControl/>
              <w:spacing w:beforeLines="0" w:afterLines="0" w:line="36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施工业绩</w:t>
            </w:r>
          </w:p>
          <w:p w14:paraId="7A793BAE">
            <w:pPr>
              <w:widowControl/>
              <w:spacing w:beforeLines="0" w:afterLines="0" w:line="36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lang w:eastAsia="zh-CN"/>
              </w:rPr>
              <w:t>1</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tc>
        <w:tc>
          <w:tcPr>
            <w:tcW w:w="5521" w:type="dxa"/>
            <w:noWrap w:val="0"/>
            <w:vAlign w:val="center"/>
          </w:tcPr>
          <w:p w14:paraId="29219268">
            <w:pPr>
              <w:spacing w:line="36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在满足资格要求的基础上，投标人自202</w:t>
            </w:r>
            <w:r>
              <w:rPr>
                <w:rFonts w:hint="eastAsia" w:ascii="宋体" w:hAnsi="宋体" w:eastAsia="宋体" w:cs="宋体"/>
                <w:color w:val="auto"/>
                <w:szCs w:val="21"/>
                <w:highlight w:val="none"/>
                <w:lang w:val="en-US" w:eastAsia="zh-CN"/>
              </w:rPr>
              <w:t>1</w:t>
            </w:r>
            <w:r>
              <w:rPr>
                <w:rFonts w:hint="eastAsia" w:ascii="宋体" w:hAnsi="宋体" w:eastAsia="宋体" w:cs="宋体"/>
                <w:color w:val="auto"/>
                <w:szCs w:val="21"/>
                <w:highlight w:val="none"/>
              </w:rPr>
              <w:t>年1月1日（含）至今</w:t>
            </w:r>
            <w:r>
              <w:rPr>
                <w:rFonts w:hint="eastAsia" w:ascii="宋体" w:hAnsi="宋体" w:eastAsia="宋体" w:cs="宋体"/>
                <w:color w:val="auto"/>
                <w:szCs w:val="21"/>
                <w:highlight w:val="none"/>
                <w:lang w:val="en-US" w:eastAsia="zh-CN"/>
              </w:rPr>
              <w:t>累计</w:t>
            </w:r>
            <w:r>
              <w:rPr>
                <w:rFonts w:hint="eastAsia" w:ascii="宋体" w:hAnsi="宋体" w:eastAsia="宋体" w:cs="宋体"/>
                <w:color w:val="auto"/>
                <w:szCs w:val="21"/>
                <w:highlight w:val="none"/>
              </w:rPr>
              <w:t>每提供100MW</w:t>
            </w:r>
            <w:r>
              <w:rPr>
                <w:rFonts w:hint="eastAsia" w:ascii="宋体" w:hAnsi="宋体" w:eastAsia="宋体" w:cs="宋体"/>
                <w:color w:val="auto"/>
                <w:kern w:val="4"/>
                <w:sz w:val="21"/>
                <w:szCs w:val="21"/>
                <w:highlight w:val="none"/>
                <w:vertAlign w:val="baseline"/>
                <w:lang w:val="en-US" w:eastAsia="zh-CN" w:bidi="ar-SA"/>
              </w:rPr>
              <w:t>（直流侧或交流侧其中一侧须满足以上容量要求）</w:t>
            </w:r>
            <w:r>
              <w:rPr>
                <w:rFonts w:hint="eastAsia" w:ascii="宋体" w:hAnsi="宋体" w:eastAsia="宋体" w:cs="宋体"/>
                <w:color w:val="auto"/>
                <w:szCs w:val="21"/>
                <w:highlight w:val="none"/>
              </w:rPr>
              <w:t>光伏电站</w:t>
            </w:r>
            <w:r>
              <w:rPr>
                <w:rFonts w:hint="eastAsia" w:ascii="宋体" w:hAnsi="宋体" w:eastAsia="宋体" w:cs="宋体"/>
                <w:color w:val="auto"/>
                <w:szCs w:val="21"/>
                <w:highlight w:val="none"/>
                <w:lang w:eastAsia="zh-CN"/>
              </w:rPr>
              <w:t>施工或EPC总承包业绩</w:t>
            </w:r>
            <w:r>
              <w:rPr>
                <w:rFonts w:hint="eastAsia" w:ascii="宋体" w:hAnsi="宋体" w:eastAsia="宋体" w:cs="宋体"/>
                <w:color w:val="auto"/>
                <w:szCs w:val="21"/>
                <w:highlight w:val="none"/>
              </w:rPr>
              <w:t>得0.5分，最高得1.5分。</w:t>
            </w:r>
            <w:r>
              <w:rPr>
                <w:rFonts w:hint="eastAsia" w:ascii="宋体" w:hAnsi="宋体" w:eastAsia="宋体" w:cs="宋体"/>
                <w:b/>
                <w:bCs/>
                <w:color w:val="auto"/>
                <w:szCs w:val="21"/>
                <w:highlight w:val="none"/>
              </w:rPr>
              <w:t>所提供的施工业绩均无重大质量事故和生产安全事故，施工业绩须为已完工项目业绩。</w:t>
            </w:r>
          </w:p>
          <w:p w14:paraId="6ED9844E">
            <w:pPr>
              <w:pStyle w:val="31"/>
              <w:widowControl/>
              <w:spacing w:beforeLines="0" w:afterLines="0" w:line="360" w:lineRule="auto"/>
              <w:rPr>
                <w:rFonts w:hint="eastAsia" w:ascii="宋体" w:hAnsi="宋体" w:eastAsia="宋体" w:cs="宋体"/>
                <w:color w:val="auto"/>
                <w:sz w:val="21"/>
                <w:szCs w:val="21"/>
                <w:highlight w:val="none"/>
              </w:rPr>
            </w:pPr>
            <w:r>
              <w:rPr>
                <w:rFonts w:hint="eastAsia" w:ascii="宋体" w:hAnsi="宋体" w:eastAsia="宋体" w:cs="宋体"/>
                <w:b/>
                <w:bCs/>
                <w:color w:val="auto"/>
                <w:sz w:val="21"/>
                <w:szCs w:val="21"/>
                <w:highlight w:val="none"/>
              </w:rPr>
              <w:t>注：业绩证明材料须提供合同证明（提供合同关键页，须体现发包人名称、项目名称、项目规模、施工范围、签字盖章等信息，合同中未体现项目容量的须提供证明材料）、竣工证明（竣工验收报告或相关竣工证明文件），业绩时间以竣工证明日期为准，提供施工业绩无重大质量事故和生产安全事故的承诺书。联合体投标时，施工业绩必须由联合体协议书中约定承担施工工作且满足本项目施工资质要求的联合体成员提供。</w:t>
            </w:r>
          </w:p>
        </w:tc>
      </w:tr>
      <w:tr w14:paraId="4ED3A4B6">
        <w:trPr>
          <w:trHeight w:val="565" w:hRule="atLeast"/>
          <w:jc w:val="center"/>
        </w:trPr>
        <w:tc>
          <w:tcPr>
            <w:tcW w:w="1012" w:type="dxa"/>
            <w:gridSpan w:val="2"/>
            <w:vMerge w:val="continue"/>
            <w:noWrap w:val="0"/>
            <w:vAlign w:val="top"/>
          </w:tcPr>
          <w:p w14:paraId="003C62DB">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2B37FADD">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59D624C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项目经理</w:t>
            </w:r>
            <w:r>
              <w:rPr>
                <w:rFonts w:hint="eastAsia" w:ascii="宋体" w:hAnsi="宋体" w:eastAsia="宋体" w:cs="宋体"/>
                <w:color w:val="auto"/>
                <w:szCs w:val="21"/>
                <w:highlight w:val="none"/>
              </w:rPr>
              <w:t>业绩</w:t>
            </w:r>
          </w:p>
          <w:p w14:paraId="66A802E7">
            <w:pPr>
              <w:spacing w:line="360" w:lineRule="exact"/>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1分</w:t>
            </w:r>
          </w:p>
        </w:tc>
        <w:tc>
          <w:tcPr>
            <w:tcW w:w="5521" w:type="dxa"/>
            <w:noWrap w:val="0"/>
            <w:vAlign w:val="center"/>
          </w:tcPr>
          <w:p w14:paraId="51A234F2">
            <w:pPr>
              <w:spacing w:line="360" w:lineRule="exact"/>
              <w:rPr>
                <w:rFonts w:hint="eastAsia" w:ascii="宋体" w:hAnsi="宋体" w:eastAsia="宋体" w:cs="宋体"/>
                <w:color w:val="auto"/>
                <w:szCs w:val="21"/>
                <w:highlight w:val="none"/>
              </w:rPr>
            </w:pPr>
            <w:r>
              <w:rPr>
                <w:rFonts w:hint="eastAsia" w:ascii="宋体" w:hAnsi="宋体" w:eastAsia="宋体" w:cs="宋体"/>
                <w:color w:val="auto"/>
                <w:szCs w:val="21"/>
                <w:highlight w:val="none"/>
              </w:rPr>
              <w:t>在满足资格条件的基础上，每多提供1项满足</w:t>
            </w:r>
            <w:r>
              <w:rPr>
                <w:rFonts w:hint="eastAsia" w:ascii="宋体" w:hAnsi="宋体" w:eastAsia="宋体" w:cs="宋体"/>
                <w:color w:val="auto"/>
                <w:szCs w:val="21"/>
                <w:highlight w:val="none"/>
                <w:lang w:val="en-US" w:eastAsia="zh-CN"/>
              </w:rPr>
              <w:t>项目经理</w:t>
            </w:r>
            <w:r>
              <w:rPr>
                <w:rFonts w:hint="eastAsia" w:ascii="宋体" w:hAnsi="宋体" w:eastAsia="宋体" w:cs="宋体"/>
                <w:color w:val="auto"/>
                <w:szCs w:val="21"/>
                <w:highlight w:val="none"/>
              </w:rPr>
              <w:t>的资格要求的有效业绩得0.5分，最高得1分。</w:t>
            </w:r>
          </w:p>
          <w:p w14:paraId="11381170">
            <w:pPr>
              <w:spacing w:line="360" w:lineRule="exact"/>
              <w:rPr>
                <w:rFonts w:hint="default" w:ascii="宋体" w:hAnsi="宋体" w:eastAsia="宋体" w:cs="宋体"/>
                <w:color w:val="auto"/>
                <w:szCs w:val="21"/>
                <w:highlight w:val="none"/>
                <w:lang w:val="en-US" w:eastAsia="zh-CN"/>
              </w:rPr>
            </w:pPr>
            <w:r>
              <w:rPr>
                <w:rFonts w:hint="eastAsia" w:ascii="宋体" w:hAnsi="宋体" w:eastAsia="宋体" w:cs="宋体"/>
                <w:b/>
                <w:bCs/>
                <w:color w:val="auto"/>
                <w:szCs w:val="21"/>
                <w:highlight w:val="none"/>
                <w:lang w:val="en-US" w:eastAsia="zh-CN"/>
              </w:rPr>
              <w:t>注：</w:t>
            </w:r>
            <w:r>
              <w:rPr>
                <w:rFonts w:hint="eastAsia" w:ascii="宋体" w:hAnsi="宋体" w:eastAsia="宋体" w:cs="宋体"/>
                <w:b/>
                <w:bCs/>
                <w:color w:val="auto"/>
                <w:sz w:val="21"/>
                <w:szCs w:val="21"/>
                <w:highlight w:val="none"/>
              </w:rPr>
              <w:t>业绩须提供能体现</w:t>
            </w:r>
            <w:r>
              <w:rPr>
                <w:rFonts w:hint="eastAsia" w:ascii="宋体" w:hAnsi="宋体" w:eastAsia="宋体" w:cs="宋体"/>
                <w:b/>
                <w:bCs/>
                <w:color w:val="auto"/>
                <w:sz w:val="21"/>
                <w:szCs w:val="21"/>
                <w:highlight w:val="none"/>
                <w:lang w:eastAsia="zh-CN"/>
              </w:rPr>
              <w:t>项目经理</w:t>
            </w:r>
            <w:r>
              <w:rPr>
                <w:rFonts w:hint="eastAsia" w:ascii="宋体" w:hAnsi="宋体" w:eastAsia="宋体" w:cs="宋体"/>
                <w:b/>
                <w:bCs/>
                <w:color w:val="auto"/>
                <w:sz w:val="21"/>
                <w:szCs w:val="21"/>
                <w:highlight w:val="none"/>
              </w:rPr>
              <w:t>信息的合同或项目任命书或中标通知书或相关证明材料</w:t>
            </w:r>
            <w:r>
              <w:rPr>
                <w:rFonts w:hint="eastAsia" w:ascii="宋体" w:hAnsi="宋体" w:eastAsia="宋体" w:cs="宋体"/>
                <w:b/>
                <w:bCs/>
                <w:color w:val="auto"/>
                <w:szCs w:val="21"/>
                <w:highlight w:val="none"/>
                <w:lang w:val="en-US" w:eastAsia="zh-CN"/>
              </w:rPr>
              <w:t>。</w:t>
            </w:r>
          </w:p>
        </w:tc>
      </w:tr>
      <w:tr w14:paraId="50955B8F">
        <w:trPr>
          <w:trHeight w:val="1115" w:hRule="atLeast"/>
          <w:jc w:val="center"/>
        </w:trPr>
        <w:tc>
          <w:tcPr>
            <w:tcW w:w="1012" w:type="dxa"/>
            <w:gridSpan w:val="2"/>
            <w:vMerge w:val="continue"/>
            <w:noWrap w:val="0"/>
            <w:vAlign w:val="top"/>
          </w:tcPr>
          <w:p w14:paraId="2138DB52">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32CF4020">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8BF060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设计负责人业绩</w:t>
            </w:r>
          </w:p>
          <w:p w14:paraId="2E769C70">
            <w:pPr>
              <w:spacing w:line="360" w:lineRule="exact"/>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1分</w:t>
            </w:r>
          </w:p>
        </w:tc>
        <w:tc>
          <w:tcPr>
            <w:tcW w:w="5521" w:type="dxa"/>
            <w:noWrap w:val="0"/>
            <w:vAlign w:val="center"/>
          </w:tcPr>
          <w:p w14:paraId="52A7B959">
            <w:pPr>
              <w:spacing w:line="360" w:lineRule="exact"/>
              <w:rPr>
                <w:rFonts w:hint="eastAsia" w:ascii="宋体" w:hAnsi="宋体" w:eastAsia="宋体" w:cs="宋体"/>
                <w:color w:val="auto"/>
                <w:szCs w:val="21"/>
                <w:highlight w:val="none"/>
              </w:rPr>
            </w:pPr>
            <w:r>
              <w:rPr>
                <w:rFonts w:hint="eastAsia" w:ascii="宋体" w:hAnsi="宋体" w:eastAsia="宋体" w:cs="宋体"/>
                <w:color w:val="auto"/>
                <w:szCs w:val="21"/>
                <w:highlight w:val="none"/>
              </w:rPr>
              <w:t>在满足资格条件的基础上，每多提供1项满足设计负责人的资格要求的有效业绩得0.5分，最高得1分。</w:t>
            </w:r>
          </w:p>
          <w:p w14:paraId="2A647826">
            <w:pPr>
              <w:spacing w:line="360" w:lineRule="exact"/>
              <w:rPr>
                <w:rFonts w:hint="eastAsia" w:ascii="宋体" w:hAnsi="宋体" w:eastAsia="宋体" w:cs="宋体"/>
                <w:color w:val="auto"/>
                <w:szCs w:val="21"/>
                <w:highlight w:val="none"/>
              </w:rPr>
            </w:pPr>
            <w:r>
              <w:rPr>
                <w:rFonts w:hint="eastAsia" w:ascii="宋体" w:hAnsi="宋体" w:eastAsia="宋体" w:cs="宋体"/>
                <w:b/>
                <w:bCs/>
                <w:color w:val="auto"/>
                <w:szCs w:val="21"/>
                <w:highlight w:val="none"/>
                <w:lang w:val="en-US" w:eastAsia="zh-CN"/>
              </w:rPr>
              <w:t>注：</w:t>
            </w:r>
            <w:r>
              <w:rPr>
                <w:rFonts w:hint="eastAsia" w:ascii="宋体" w:hAnsi="宋体" w:eastAsia="宋体" w:cs="宋体"/>
                <w:b/>
                <w:bCs/>
                <w:color w:val="auto"/>
                <w:sz w:val="21"/>
                <w:szCs w:val="21"/>
                <w:highlight w:val="none"/>
              </w:rPr>
              <w:t>业绩须提供能体现设计负责人信息的合同或项目任命书或中标通知书或相关证明材料</w:t>
            </w:r>
            <w:r>
              <w:rPr>
                <w:rFonts w:hint="eastAsia" w:ascii="宋体" w:hAnsi="宋体" w:eastAsia="宋体" w:cs="宋体"/>
                <w:b/>
                <w:bCs/>
                <w:color w:val="auto"/>
                <w:szCs w:val="21"/>
                <w:highlight w:val="none"/>
                <w:lang w:val="en-US" w:eastAsia="zh-CN"/>
              </w:rPr>
              <w:t>。</w:t>
            </w:r>
          </w:p>
        </w:tc>
      </w:tr>
      <w:tr w14:paraId="0A162681">
        <w:trPr>
          <w:trHeight w:val="20" w:hRule="atLeast"/>
          <w:jc w:val="center"/>
        </w:trPr>
        <w:tc>
          <w:tcPr>
            <w:tcW w:w="1012" w:type="dxa"/>
            <w:gridSpan w:val="2"/>
            <w:vMerge w:val="continue"/>
            <w:noWrap w:val="0"/>
            <w:vAlign w:val="top"/>
          </w:tcPr>
          <w:p w14:paraId="4D6DAC15">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21B7811D">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542D0260">
            <w:pPr>
              <w:spacing w:line="360" w:lineRule="exact"/>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安全评级</w:t>
            </w:r>
          </w:p>
          <w:p w14:paraId="2707C334">
            <w:pPr>
              <w:spacing w:line="360" w:lineRule="exact"/>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1分</w:t>
            </w:r>
          </w:p>
        </w:tc>
        <w:tc>
          <w:tcPr>
            <w:tcW w:w="5521" w:type="dxa"/>
            <w:noWrap w:val="0"/>
            <w:vAlign w:val="center"/>
          </w:tcPr>
          <w:p w14:paraId="49CACD17">
            <w:pPr>
              <w:spacing w:line="360" w:lineRule="exact"/>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1、企业被住房城乡建设主管部门组织的企业安全生产标准化考评结果为优良的得0.5分，须提供相关证明材料。</w:t>
            </w:r>
          </w:p>
          <w:p w14:paraId="67C8BBD3">
            <w:pPr>
              <w:spacing w:line="360" w:lineRule="exact"/>
              <w:rPr>
                <w:rFonts w:hint="eastAsia" w:ascii="宋体" w:hAnsi="宋体" w:eastAsia="宋体" w:cs="宋体"/>
                <w:b/>
                <w:bCs/>
                <w:color w:val="auto"/>
                <w:szCs w:val="21"/>
                <w:highlight w:val="none"/>
              </w:rPr>
            </w:pPr>
            <w:r>
              <w:rPr>
                <w:rFonts w:hint="eastAsia" w:ascii="宋体" w:hAnsi="宋体" w:eastAsia="宋体" w:cs="宋体"/>
                <w:color w:val="auto"/>
                <w:szCs w:val="21"/>
                <w:highlight w:val="none"/>
              </w:rPr>
              <w:t>2、企业所承接的施工项目获得省级及以上颁发的安全文明标准化工地荣誉称号，或企业所承接的施工项目被住房城乡建设主管部门组织的安全生产标准化考评结果为优良，每具有一项满足以上要求的施工业绩得0.25分，满分0.5分，须提供施工合同及相关证明材料。</w:t>
            </w:r>
          </w:p>
        </w:tc>
      </w:tr>
      <w:tr w14:paraId="075C7D2E">
        <w:trPr>
          <w:trHeight w:val="2145" w:hRule="atLeast"/>
          <w:jc w:val="center"/>
        </w:trPr>
        <w:tc>
          <w:tcPr>
            <w:tcW w:w="1012" w:type="dxa"/>
            <w:gridSpan w:val="2"/>
            <w:vMerge w:val="continue"/>
            <w:noWrap w:val="0"/>
            <w:vAlign w:val="top"/>
          </w:tcPr>
          <w:p w14:paraId="704786BE">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3AA76B02">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0ED4E63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投标文件响应情况</w:t>
            </w:r>
          </w:p>
          <w:p w14:paraId="273359B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5分</w:t>
            </w:r>
          </w:p>
        </w:tc>
        <w:tc>
          <w:tcPr>
            <w:tcW w:w="5521" w:type="dxa"/>
            <w:noWrap w:val="0"/>
            <w:vAlign w:val="center"/>
          </w:tcPr>
          <w:p w14:paraId="1F53BFA2">
            <w:pPr>
              <w:spacing w:line="360" w:lineRule="exact"/>
              <w:rPr>
                <w:rFonts w:hint="eastAsia" w:ascii="宋体" w:hAnsi="宋体" w:eastAsia="宋体" w:cs="宋体"/>
                <w:b/>
                <w:bCs/>
                <w:color w:val="auto"/>
                <w:szCs w:val="21"/>
                <w:highlight w:val="none"/>
              </w:rPr>
            </w:pPr>
            <w:r>
              <w:rPr>
                <w:rFonts w:hint="eastAsia" w:ascii="宋体" w:hAnsi="宋体" w:eastAsia="宋体" w:cs="宋体"/>
                <w:color w:val="auto"/>
                <w:szCs w:val="21"/>
                <w:highlight w:val="none"/>
              </w:rPr>
              <w:t>全部满足招标文件</w:t>
            </w:r>
            <w:r>
              <w:rPr>
                <w:rFonts w:hint="eastAsia" w:ascii="宋体" w:hAnsi="宋体" w:eastAsia="宋体" w:cs="宋体"/>
                <w:color w:val="auto"/>
                <w:szCs w:val="21"/>
                <w:highlight w:val="none"/>
                <w:lang w:val="en-US" w:eastAsia="zh-CN"/>
              </w:rPr>
              <w:t>要求</w:t>
            </w:r>
            <w:r>
              <w:rPr>
                <w:rFonts w:hint="eastAsia" w:ascii="宋体" w:hAnsi="宋体" w:eastAsia="宋体" w:cs="宋体"/>
                <w:color w:val="auto"/>
                <w:szCs w:val="21"/>
                <w:highlight w:val="none"/>
              </w:rPr>
              <w:t>的得5分；</w:t>
            </w:r>
            <w:r>
              <w:rPr>
                <w:rFonts w:hint="eastAsia" w:ascii="宋体" w:hAnsi="宋体" w:eastAsia="宋体" w:cs="宋体"/>
                <w:color w:val="auto"/>
                <w:szCs w:val="21"/>
                <w:highlight w:val="none"/>
                <w:lang w:val="en-US" w:eastAsia="zh-CN"/>
              </w:rPr>
              <w:t>如投标文件中有负偏离，则根据商务偏离表及技术偏离表中负偏离项</w:t>
            </w:r>
            <w:r>
              <w:rPr>
                <w:rFonts w:hint="eastAsia" w:ascii="宋体" w:hAnsi="宋体" w:eastAsia="宋体" w:cs="宋体"/>
                <w:color w:val="auto"/>
                <w:szCs w:val="21"/>
                <w:highlight w:val="none"/>
              </w:rPr>
              <w:t>酌情得</w:t>
            </w:r>
            <w:r>
              <w:rPr>
                <w:rFonts w:hint="eastAsia" w:ascii="宋体" w:hAnsi="宋体" w:eastAsia="宋体" w:cs="宋体"/>
                <w:color w:val="auto"/>
                <w:szCs w:val="21"/>
                <w:highlight w:val="none"/>
                <w:lang w:val="en-US" w:eastAsia="zh-CN"/>
              </w:rPr>
              <w:t>0</w:t>
            </w:r>
            <w:r>
              <w:rPr>
                <w:rFonts w:hint="eastAsia" w:ascii="宋体" w:hAnsi="宋体" w:eastAsia="宋体" w:cs="宋体"/>
                <w:color w:val="auto"/>
                <w:szCs w:val="21"/>
                <w:highlight w:val="none"/>
              </w:rPr>
              <w:t>-4分</w:t>
            </w:r>
            <w:r>
              <w:rPr>
                <w:rFonts w:hint="eastAsia" w:ascii="Arial" w:hAnsi="Arial" w:cs="Arial"/>
                <w:b/>
                <w:bCs/>
                <w:color w:val="auto"/>
                <w:szCs w:val="21"/>
                <w:highlight w:val="none"/>
                <w:lang w:eastAsia="zh-CN"/>
              </w:rPr>
              <w:t>（招标文件中不允许负偏离的内容除外）</w:t>
            </w:r>
            <w:r>
              <w:rPr>
                <w:rFonts w:hint="eastAsia" w:ascii="宋体" w:hAnsi="宋体" w:eastAsia="宋体" w:cs="宋体"/>
                <w:color w:val="auto"/>
                <w:szCs w:val="21"/>
                <w:highlight w:val="none"/>
              </w:rPr>
              <w:t>；如</w:t>
            </w:r>
            <w:r>
              <w:rPr>
                <w:rFonts w:hint="eastAsia" w:ascii="宋体" w:hAnsi="宋体" w:eastAsia="宋体" w:cs="宋体"/>
                <w:color w:val="auto"/>
                <w:szCs w:val="21"/>
                <w:highlight w:val="none"/>
                <w:lang w:val="en-US" w:eastAsia="zh-CN"/>
              </w:rPr>
              <w:t>商务偏离表及技术偏离表中内容</w:t>
            </w:r>
            <w:r>
              <w:rPr>
                <w:rFonts w:hint="eastAsia" w:ascii="宋体" w:hAnsi="宋体" w:eastAsia="宋体" w:cs="宋体"/>
                <w:color w:val="auto"/>
                <w:szCs w:val="21"/>
                <w:highlight w:val="none"/>
              </w:rPr>
              <w:t>与投标文件</w:t>
            </w:r>
            <w:r>
              <w:rPr>
                <w:rFonts w:hint="eastAsia" w:ascii="宋体" w:hAnsi="宋体" w:eastAsia="宋体" w:cs="宋体"/>
                <w:color w:val="auto"/>
                <w:szCs w:val="21"/>
                <w:highlight w:val="none"/>
                <w:lang w:val="en-US" w:eastAsia="zh-CN"/>
              </w:rPr>
              <w:t>内容</w:t>
            </w:r>
            <w:r>
              <w:rPr>
                <w:rFonts w:hint="eastAsia" w:ascii="宋体" w:hAnsi="宋体" w:eastAsia="宋体" w:cs="宋体"/>
                <w:color w:val="auto"/>
                <w:szCs w:val="21"/>
                <w:highlight w:val="none"/>
              </w:rPr>
              <w:t>不一致</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以商务偏离表及技术偏离表内容为准</w:t>
            </w:r>
            <w:r>
              <w:rPr>
                <w:rFonts w:hint="eastAsia" w:ascii="宋体" w:hAnsi="宋体" w:eastAsia="宋体" w:cs="宋体"/>
                <w:color w:val="auto"/>
                <w:szCs w:val="21"/>
                <w:highlight w:val="none"/>
              </w:rPr>
              <w:t>。</w:t>
            </w:r>
          </w:p>
        </w:tc>
      </w:tr>
      <w:tr w14:paraId="64469504">
        <w:trPr>
          <w:trHeight w:val="572" w:hRule="atLeast"/>
          <w:jc w:val="center"/>
        </w:trPr>
        <w:tc>
          <w:tcPr>
            <w:tcW w:w="2024" w:type="dxa"/>
            <w:gridSpan w:val="3"/>
            <w:noWrap w:val="0"/>
            <w:vAlign w:val="center"/>
          </w:tcPr>
          <w:p w14:paraId="73B762BB">
            <w:pPr>
              <w:spacing w:line="240" w:lineRule="auto"/>
              <w:jc w:val="both"/>
              <w:rPr>
                <w:rFonts w:hint="eastAsia" w:ascii="宋体" w:hAnsi="宋体" w:eastAsia="宋体" w:cs="宋体"/>
                <w:color w:val="auto"/>
                <w:szCs w:val="21"/>
                <w:highlight w:val="none"/>
              </w:rPr>
            </w:pPr>
            <w:r>
              <w:rPr>
                <w:rFonts w:hint="eastAsia" w:ascii="宋体" w:hAnsi="宋体" w:eastAsia="宋体" w:cs="宋体"/>
                <w:b/>
                <w:color w:val="auto"/>
                <w:szCs w:val="21"/>
                <w:highlight w:val="none"/>
              </w:rPr>
              <w:t>条款号</w:t>
            </w:r>
          </w:p>
        </w:tc>
        <w:tc>
          <w:tcPr>
            <w:tcW w:w="1945" w:type="dxa"/>
            <w:noWrap w:val="0"/>
            <w:vAlign w:val="center"/>
          </w:tcPr>
          <w:p w14:paraId="28044690">
            <w:pPr>
              <w:spacing w:line="240" w:lineRule="auto"/>
              <w:jc w:val="center"/>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评分因素</w:t>
            </w:r>
          </w:p>
        </w:tc>
        <w:tc>
          <w:tcPr>
            <w:tcW w:w="5521" w:type="dxa"/>
            <w:noWrap w:val="0"/>
            <w:vAlign w:val="center"/>
          </w:tcPr>
          <w:p w14:paraId="192D8E06">
            <w:pPr>
              <w:spacing w:line="240" w:lineRule="auto"/>
              <w:jc w:val="center"/>
              <w:rPr>
                <w:rFonts w:hint="eastAsia" w:ascii="宋体" w:hAnsi="宋体" w:eastAsia="宋体" w:cs="宋体"/>
                <w:color w:val="auto"/>
                <w:szCs w:val="21"/>
                <w:highlight w:val="none"/>
              </w:rPr>
            </w:pPr>
            <w:r>
              <w:rPr>
                <w:rFonts w:hint="eastAsia" w:ascii="宋体" w:hAnsi="宋体" w:eastAsia="宋体" w:cs="宋体"/>
                <w:b/>
                <w:color w:val="auto"/>
                <w:szCs w:val="21"/>
                <w:highlight w:val="none"/>
              </w:rPr>
              <w:t>评分标准</w:t>
            </w:r>
          </w:p>
        </w:tc>
      </w:tr>
      <w:tr w14:paraId="1A32CD52">
        <w:trPr>
          <w:trHeight w:val="20" w:hRule="atLeast"/>
          <w:jc w:val="center"/>
        </w:trPr>
        <w:tc>
          <w:tcPr>
            <w:tcW w:w="900" w:type="dxa"/>
            <w:vMerge w:val="restart"/>
            <w:noWrap w:val="0"/>
            <w:vAlign w:val="center"/>
          </w:tcPr>
          <w:p w14:paraId="7555979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2.2.4</w:t>
            </w:r>
          </w:p>
        </w:tc>
        <w:tc>
          <w:tcPr>
            <w:tcW w:w="1124" w:type="dxa"/>
            <w:gridSpan w:val="2"/>
            <w:vMerge w:val="restart"/>
            <w:noWrap w:val="0"/>
            <w:vAlign w:val="center"/>
          </w:tcPr>
          <w:p w14:paraId="54F3194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技术方案（</w:t>
            </w:r>
            <w:r>
              <w:rPr>
                <w:rFonts w:hint="eastAsia" w:ascii="宋体" w:hAnsi="宋体" w:eastAsia="宋体" w:cs="宋体"/>
                <w:color w:val="auto"/>
                <w:szCs w:val="21"/>
                <w:highlight w:val="none"/>
                <w:lang w:val="en-US" w:eastAsia="zh-CN"/>
              </w:rPr>
              <w:t>40</w:t>
            </w:r>
            <w:r>
              <w:rPr>
                <w:rFonts w:hint="eastAsia" w:ascii="宋体" w:hAnsi="宋体" w:eastAsia="宋体" w:cs="宋体"/>
                <w:color w:val="auto"/>
                <w:szCs w:val="21"/>
                <w:highlight w:val="none"/>
              </w:rPr>
              <w:t>分）</w:t>
            </w:r>
            <w:r>
              <w:rPr>
                <w:rFonts w:hint="eastAsia" w:ascii="宋体" w:hAnsi="宋体" w:eastAsia="宋体" w:cs="宋体"/>
                <w:b/>
                <w:bCs/>
                <w:color w:val="auto"/>
                <w:szCs w:val="21"/>
                <w:highlight w:val="none"/>
              </w:rPr>
              <w:t>（详细技术方案标准及要求见招标文件技术册）</w:t>
            </w:r>
          </w:p>
        </w:tc>
        <w:tc>
          <w:tcPr>
            <w:tcW w:w="1945" w:type="dxa"/>
            <w:vMerge w:val="restart"/>
            <w:noWrap w:val="0"/>
            <w:vAlign w:val="center"/>
          </w:tcPr>
          <w:p w14:paraId="166D673E">
            <w:pPr>
              <w:spacing w:line="240" w:lineRule="auto"/>
              <w:ind w:firstLine="480" w:firstLineChars="200"/>
              <w:rPr>
                <w:rFonts w:hint="eastAsia" w:ascii="宋体" w:hAnsi="宋体" w:eastAsia="宋体" w:cs="宋体"/>
                <w:color w:val="auto"/>
                <w:szCs w:val="21"/>
                <w:highlight w:val="none"/>
              </w:rPr>
            </w:pPr>
            <w:r>
              <w:rPr>
                <w:rFonts w:hint="eastAsia" w:ascii="宋体" w:hAnsi="宋体" w:eastAsia="宋体" w:cs="宋体"/>
                <w:color w:val="auto"/>
                <w:szCs w:val="21"/>
                <w:highlight w:val="none"/>
              </w:rPr>
              <w:t>设计方案</w:t>
            </w:r>
          </w:p>
          <w:p w14:paraId="09FD3A4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tc>
        <w:tc>
          <w:tcPr>
            <w:tcW w:w="5521" w:type="dxa"/>
            <w:noWrap w:val="0"/>
            <w:vAlign w:val="center"/>
          </w:tcPr>
          <w:p w14:paraId="1ED02CF0">
            <w:pPr>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1.土建部分（</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分）（标准及要求详见技术册）</w:t>
            </w:r>
          </w:p>
          <w:p w14:paraId="261522A6">
            <w:pPr>
              <w:spacing w:line="240" w:lineRule="auto"/>
              <w:jc w:val="left"/>
              <w:rPr>
                <w:rFonts w:hint="eastAsia" w:ascii="宋体" w:hAnsi="宋体" w:eastAsia="宋体" w:cs="宋体"/>
                <w:color w:val="auto"/>
                <w:highlight w:val="none"/>
              </w:rPr>
            </w:pPr>
            <w:r>
              <w:rPr>
                <w:rFonts w:hint="eastAsia" w:ascii="宋体" w:hAnsi="宋体" w:eastAsia="宋体" w:cs="宋体"/>
                <w:color w:val="auto"/>
                <w:szCs w:val="21"/>
                <w:highlight w:val="none"/>
              </w:rPr>
              <w:t>总平面布置</w:t>
            </w:r>
            <w:r>
              <w:rPr>
                <w:rFonts w:hint="eastAsia" w:ascii="宋体" w:hAnsi="宋体" w:eastAsia="宋体" w:cs="宋体"/>
                <w:color w:val="auto"/>
                <w:szCs w:val="21"/>
                <w:highlight w:val="none"/>
                <w:lang w:val="en-US" w:eastAsia="zh-CN"/>
              </w:rPr>
              <w:t>设计</w:t>
            </w:r>
            <w:r>
              <w:rPr>
                <w:rFonts w:hint="eastAsia" w:ascii="宋体" w:hAnsi="宋体" w:eastAsia="宋体" w:cs="宋体"/>
                <w:color w:val="auto"/>
                <w:szCs w:val="21"/>
                <w:highlight w:val="none"/>
              </w:rPr>
              <w:t>方案及图纸、综合楼、</w:t>
            </w:r>
            <w:r>
              <w:rPr>
                <w:rFonts w:hint="eastAsia" w:ascii="宋体" w:hAnsi="宋体" w:eastAsia="宋体" w:cs="宋体"/>
                <w:color w:val="auto"/>
                <w:szCs w:val="21"/>
                <w:highlight w:val="none"/>
                <w:lang w:val="en-US" w:eastAsia="zh-CN"/>
              </w:rPr>
              <w:t>预制式开关柜室和保护室布置方案</w:t>
            </w:r>
            <w:r>
              <w:rPr>
                <w:rFonts w:hint="eastAsia" w:ascii="宋体" w:hAnsi="宋体" w:eastAsia="宋体" w:cs="宋体"/>
                <w:color w:val="auto"/>
                <w:szCs w:val="21"/>
                <w:highlight w:val="none"/>
              </w:rPr>
              <w:t>、升压站布置</w:t>
            </w:r>
            <w:r>
              <w:rPr>
                <w:rFonts w:hint="eastAsia" w:ascii="宋体" w:hAnsi="宋体" w:eastAsia="宋体" w:cs="宋体"/>
                <w:color w:val="auto"/>
                <w:szCs w:val="21"/>
                <w:highlight w:val="none"/>
                <w:lang w:val="en-US" w:eastAsia="zh-CN"/>
              </w:rPr>
              <w:t>设计</w:t>
            </w:r>
            <w:r>
              <w:rPr>
                <w:rFonts w:hint="eastAsia" w:ascii="宋体" w:hAnsi="宋体" w:eastAsia="宋体" w:cs="宋体"/>
                <w:color w:val="auto"/>
                <w:szCs w:val="21"/>
                <w:highlight w:val="none"/>
              </w:rPr>
              <w:t>方案及图纸、支架及基础</w:t>
            </w:r>
            <w:r>
              <w:rPr>
                <w:rFonts w:hint="eastAsia" w:ascii="宋体" w:hAnsi="宋体" w:eastAsia="宋体" w:cs="宋体"/>
                <w:color w:val="auto"/>
                <w:szCs w:val="21"/>
                <w:highlight w:val="none"/>
                <w:lang w:val="en-US" w:eastAsia="zh-CN"/>
              </w:rPr>
              <w:t>设计</w:t>
            </w:r>
            <w:r>
              <w:rPr>
                <w:rFonts w:hint="eastAsia" w:ascii="宋体" w:hAnsi="宋体" w:eastAsia="宋体" w:cs="宋体"/>
                <w:color w:val="auto"/>
                <w:szCs w:val="21"/>
                <w:highlight w:val="none"/>
              </w:rPr>
              <w:t>方案及图纸（0-</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p w14:paraId="6833B948">
            <w:pPr>
              <w:pStyle w:val="103"/>
              <w:spacing w:before="0" w:after="0" w:line="240" w:lineRule="auto"/>
              <w:ind w:firstLine="0" w:firstLineChars="0"/>
              <w:jc w:val="left"/>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注：综合对比投标人提供的</w:t>
            </w:r>
            <w:r>
              <w:rPr>
                <w:rFonts w:hint="eastAsia" w:ascii="宋体" w:hAnsi="宋体" w:eastAsia="宋体" w:cs="宋体"/>
                <w:b/>
                <w:bCs/>
                <w:color w:val="auto"/>
                <w:szCs w:val="21"/>
                <w:highlight w:val="none"/>
                <w:lang w:val="en-US" w:eastAsia="zh-CN"/>
              </w:rPr>
              <w:t>设计</w:t>
            </w:r>
            <w:r>
              <w:rPr>
                <w:rFonts w:hint="eastAsia" w:ascii="宋体" w:hAnsi="宋体" w:eastAsia="宋体" w:cs="宋体"/>
                <w:b/>
                <w:bCs/>
                <w:color w:val="auto"/>
                <w:szCs w:val="21"/>
                <w:highlight w:val="none"/>
              </w:rPr>
              <w:t>方案</w:t>
            </w:r>
            <w:r>
              <w:rPr>
                <w:rFonts w:hint="eastAsia" w:ascii="宋体" w:hAnsi="宋体" w:eastAsia="宋体" w:cs="宋体"/>
                <w:b/>
                <w:bCs/>
                <w:color w:val="auto"/>
                <w:szCs w:val="21"/>
                <w:highlight w:val="none"/>
                <w:lang w:val="en-US" w:eastAsia="zh-CN"/>
              </w:rPr>
              <w:t>及</w:t>
            </w:r>
            <w:r>
              <w:rPr>
                <w:rFonts w:hint="eastAsia" w:ascii="宋体" w:hAnsi="宋体" w:eastAsia="宋体" w:cs="宋体"/>
                <w:b/>
                <w:bCs/>
                <w:color w:val="auto"/>
                <w:szCs w:val="21"/>
                <w:highlight w:val="none"/>
              </w:rPr>
              <w:t>图纸内容，酌情打分。</w:t>
            </w:r>
          </w:p>
        </w:tc>
      </w:tr>
      <w:tr w14:paraId="2F81D02C">
        <w:trPr>
          <w:trHeight w:val="20" w:hRule="atLeast"/>
          <w:jc w:val="center"/>
        </w:trPr>
        <w:tc>
          <w:tcPr>
            <w:tcW w:w="900" w:type="dxa"/>
            <w:vMerge w:val="continue"/>
            <w:noWrap w:val="0"/>
            <w:vAlign w:val="center"/>
          </w:tcPr>
          <w:p w14:paraId="2F8606A3">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61CE850A">
            <w:pPr>
              <w:spacing w:line="240" w:lineRule="auto"/>
              <w:jc w:val="center"/>
              <w:rPr>
                <w:rFonts w:hint="eastAsia" w:ascii="宋体" w:hAnsi="宋体" w:eastAsia="宋体" w:cs="宋体"/>
                <w:color w:val="auto"/>
                <w:szCs w:val="21"/>
                <w:highlight w:val="none"/>
              </w:rPr>
            </w:pPr>
          </w:p>
        </w:tc>
        <w:tc>
          <w:tcPr>
            <w:tcW w:w="1945" w:type="dxa"/>
            <w:vMerge w:val="continue"/>
            <w:noWrap w:val="0"/>
            <w:vAlign w:val="center"/>
          </w:tcPr>
          <w:p w14:paraId="50B43E71">
            <w:pPr>
              <w:rPr>
                <w:rFonts w:hint="eastAsia" w:ascii="宋体" w:hAnsi="宋体" w:eastAsia="宋体" w:cs="宋体"/>
                <w:color w:val="auto"/>
                <w:szCs w:val="21"/>
                <w:highlight w:val="none"/>
              </w:rPr>
            </w:pPr>
          </w:p>
        </w:tc>
        <w:tc>
          <w:tcPr>
            <w:tcW w:w="5521" w:type="dxa"/>
            <w:noWrap w:val="0"/>
            <w:vAlign w:val="center"/>
          </w:tcPr>
          <w:p w14:paraId="2497111C">
            <w:pPr>
              <w:spacing w:line="240" w:lineRule="auto"/>
              <w:rPr>
                <w:rFonts w:hint="eastAsia" w:ascii="宋体" w:hAnsi="宋体" w:eastAsia="宋体" w:cs="宋体"/>
                <w:bCs/>
                <w:color w:val="auto"/>
                <w:szCs w:val="21"/>
                <w:highlight w:val="none"/>
              </w:rPr>
            </w:pPr>
            <w:r>
              <w:rPr>
                <w:rFonts w:hint="eastAsia" w:ascii="宋体" w:hAnsi="宋体" w:eastAsia="宋体" w:cs="宋体"/>
                <w:bCs/>
                <w:color w:val="auto"/>
                <w:szCs w:val="21"/>
                <w:highlight w:val="none"/>
              </w:rPr>
              <w:t>2.电气部分（</w:t>
            </w:r>
            <w:r>
              <w:rPr>
                <w:rFonts w:hint="eastAsia" w:ascii="宋体" w:hAnsi="宋体" w:eastAsia="宋体" w:cs="宋体"/>
                <w:bCs/>
                <w:color w:val="auto"/>
                <w:szCs w:val="21"/>
                <w:highlight w:val="none"/>
                <w:lang w:val="en-US" w:eastAsia="zh-CN"/>
              </w:rPr>
              <w:t>5</w:t>
            </w:r>
            <w:r>
              <w:rPr>
                <w:rFonts w:hint="eastAsia" w:ascii="宋体" w:hAnsi="宋体" w:eastAsia="宋体" w:cs="宋体"/>
                <w:bCs/>
                <w:color w:val="auto"/>
                <w:szCs w:val="21"/>
                <w:highlight w:val="none"/>
              </w:rPr>
              <w:t>分）</w:t>
            </w:r>
            <w:r>
              <w:rPr>
                <w:rFonts w:hint="eastAsia" w:ascii="宋体" w:hAnsi="宋体" w:eastAsia="宋体" w:cs="宋体"/>
                <w:color w:val="auto"/>
                <w:szCs w:val="21"/>
                <w:highlight w:val="none"/>
              </w:rPr>
              <w:t>（标准及要求详见技术册）</w:t>
            </w:r>
            <w:r>
              <w:rPr>
                <w:rFonts w:hint="eastAsia" w:ascii="宋体" w:hAnsi="宋体" w:eastAsia="宋体" w:cs="宋体"/>
                <w:bCs/>
                <w:color w:val="auto"/>
                <w:szCs w:val="21"/>
                <w:highlight w:val="none"/>
              </w:rPr>
              <w:t>：</w:t>
            </w:r>
          </w:p>
          <w:p w14:paraId="3E1FE831">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光伏区电气设计方案及图纸、升压站</w:t>
            </w:r>
            <w:r>
              <w:rPr>
                <w:rFonts w:hint="eastAsia" w:ascii="宋体" w:hAnsi="宋体" w:eastAsia="宋体" w:cs="宋体"/>
                <w:color w:val="auto"/>
                <w:szCs w:val="21"/>
                <w:highlight w:val="none"/>
              </w:rPr>
              <w:t>电气一、二次系统设计方案及相应接线图纸</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及其他图纸</w:t>
            </w:r>
            <w:r>
              <w:rPr>
                <w:rFonts w:hint="eastAsia" w:ascii="宋体" w:hAnsi="宋体" w:eastAsia="宋体" w:cs="宋体"/>
                <w:color w:val="auto"/>
                <w:szCs w:val="21"/>
                <w:highlight w:val="none"/>
              </w:rPr>
              <w:t>（0-</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p w14:paraId="34F19463">
            <w:pPr>
              <w:spacing w:line="240" w:lineRule="auto"/>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注：综合对比投标人提供的</w:t>
            </w:r>
            <w:r>
              <w:rPr>
                <w:rFonts w:hint="eastAsia" w:ascii="宋体" w:hAnsi="宋体" w:eastAsia="宋体" w:cs="宋体"/>
                <w:b/>
                <w:bCs/>
                <w:color w:val="auto"/>
                <w:szCs w:val="21"/>
                <w:highlight w:val="none"/>
                <w:lang w:val="en-US" w:eastAsia="zh-CN"/>
              </w:rPr>
              <w:t>设计</w:t>
            </w:r>
            <w:r>
              <w:rPr>
                <w:rFonts w:hint="eastAsia" w:ascii="宋体" w:hAnsi="宋体" w:eastAsia="宋体" w:cs="宋体"/>
                <w:b/>
                <w:bCs/>
                <w:color w:val="auto"/>
                <w:szCs w:val="21"/>
                <w:highlight w:val="none"/>
              </w:rPr>
              <w:t>方案</w:t>
            </w:r>
            <w:r>
              <w:rPr>
                <w:rFonts w:hint="eastAsia" w:ascii="宋体" w:hAnsi="宋体" w:eastAsia="宋体" w:cs="宋体"/>
                <w:b/>
                <w:bCs/>
                <w:color w:val="auto"/>
                <w:szCs w:val="21"/>
                <w:highlight w:val="none"/>
                <w:lang w:val="en-US" w:eastAsia="zh-CN"/>
              </w:rPr>
              <w:t>及</w:t>
            </w:r>
            <w:r>
              <w:rPr>
                <w:rFonts w:hint="eastAsia" w:ascii="宋体" w:hAnsi="宋体" w:eastAsia="宋体" w:cs="宋体"/>
                <w:b/>
                <w:bCs/>
                <w:color w:val="auto"/>
                <w:szCs w:val="21"/>
                <w:highlight w:val="none"/>
              </w:rPr>
              <w:t>图纸内容，酌情打分。</w:t>
            </w:r>
          </w:p>
        </w:tc>
      </w:tr>
      <w:tr w14:paraId="0E16329B">
        <w:trPr>
          <w:trHeight w:val="20" w:hRule="atLeast"/>
          <w:jc w:val="center"/>
        </w:trPr>
        <w:tc>
          <w:tcPr>
            <w:tcW w:w="900" w:type="dxa"/>
            <w:vMerge w:val="continue"/>
            <w:noWrap w:val="0"/>
            <w:vAlign w:val="center"/>
          </w:tcPr>
          <w:p w14:paraId="53A86377">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60729CC6">
            <w:pPr>
              <w:spacing w:line="240" w:lineRule="auto"/>
              <w:jc w:val="center"/>
              <w:rPr>
                <w:rFonts w:hint="eastAsia" w:ascii="宋体" w:hAnsi="宋体" w:eastAsia="宋体" w:cs="宋体"/>
                <w:color w:val="auto"/>
                <w:szCs w:val="21"/>
                <w:highlight w:val="none"/>
              </w:rPr>
            </w:pPr>
          </w:p>
        </w:tc>
        <w:tc>
          <w:tcPr>
            <w:tcW w:w="1945" w:type="dxa"/>
            <w:vMerge w:val="continue"/>
            <w:noWrap w:val="0"/>
            <w:vAlign w:val="center"/>
          </w:tcPr>
          <w:p w14:paraId="13BDA684">
            <w:pPr>
              <w:rPr>
                <w:rFonts w:hint="eastAsia" w:ascii="宋体" w:hAnsi="宋体" w:eastAsia="宋体" w:cs="宋体"/>
                <w:color w:val="auto"/>
                <w:szCs w:val="21"/>
                <w:highlight w:val="none"/>
              </w:rPr>
            </w:pPr>
          </w:p>
        </w:tc>
        <w:tc>
          <w:tcPr>
            <w:tcW w:w="5521" w:type="dxa"/>
            <w:noWrap w:val="0"/>
            <w:vAlign w:val="center"/>
          </w:tcPr>
          <w:p w14:paraId="63ABB79A">
            <w:pPr>
              <w:pStyle w:val="103"/>
              <w:numPr>
                <w:ilvl w:val="0"/>
                <w:numId w:val="0"/>
              </w:numPr>
              <w:spacing w:before="0" w:after="0" w:line="240" w:lineRule="auto"/>
              <w:ind w:firstLine="0" w:firstLineChars="0"/>
              <w:rPr>
                <w:rFonts w:hint="eastAsia" w:ascii="宋体" w:hAnsi="宋体" w:eastAsia="宋体" w:cs="宋体"/>
                <w:b w:val="0"/>
                <w:bCs w:val="0"/>
                <w:color w:val="auto"/>
                <w:szCs w:val="21"/>
                <w:highlight w:val="none"/>
                <w:lang w:val="en-US" w:eastAsia="zh-CN"/>
              </w:rPr>
            </w:pPr>
            <w:r>
              <w:rPr>
                <w:rFonts w:hint="eastAsia" w:ascii="宋体" w:hAnsi="宋体" w:eastAsia="宋体" w:cs="宋体"/>
                <w:b w:val="0"/>
                <w:bCs w:val="0"/>
                <w:color w:val="auto"/>
                <w:szCs w:val="21"/>
                <w:highlight w:val="none"/>
                <w:lang w:val="en-US" w:eastAsia="zh-CN"/>
              </w:rPr>
              <w:t>3.升压站部分（2分）</w:t>
            </w:r>
          </w:p>
          <w:p w14:paraId="1FF52653">
            <w:pPr>
              <w:pStyle w:val="103"/>
              <w:numPr>
                <w:ilvl w:val="0"/>
                <w:numId w:val="0"/>
              </w:numPr>
              <w:spacing w:before="0" w:after="0" w:line="240" w:lineRule="auto"/>
              <w:ind w:firstLine="0" w:firstLineChars="0"/>
              <w:rPr>
                <w:rFonts w:hint="eastAsia" w:ascii="宋体" w:hAnsi="宋体" w:eastAsia="宋体" w:cs="宋体"/>
                <w:b w:val="0"/>
                <w:bCs w:val="0"/>
                <w:color w:val="auto"/>
                <w:szCs w:val="21"/>
                <w:highlight w:val="none"/>
                <w:lang w:eastAsia="zh-CN"/>
              </w:rPr>
            </w:pPr>
            <w:r>
              <w:rPr>
                <w:rFonts w:hint="eastAsia" w:ascii="宋体" w:hAnsi="宋体" w:eastAsia="宋体" w:cs="宋体"/>
                <w:b w:val="0"/>
                <w:bCs w:val="0"/>
                <w:color w:val="auto"/>
                <w:szCs w:val="21"/>
                <w:highlight w:val="none"/>
              </w:rPr>
              <w:t>升压站防洪排水方案</w:t>
            </w:r>
            <w:r>
              <w:rPr>
                <w:rFonts w:hint="eastAsia" w:ascii="宋体" w:hAnsi="宋体" w:eastAsia="宋体" w:cs="宋体"/>
                <w:b w:val="0"/>
                <w:bCs w:val="0"/>
                <w:color w:val="auto"/>
                <w:szCs w:val="21"/>
                <w:highlight w:val="none"/>
                <w:lang w:eastAsia="zh-CN"/>
              </w:rPr>
              <w:t>、</w:t>
            </w:r>
            <w:r>
              <w:rPr>
                <w:rFonts w:hint="eastAsia" w:ascii="宋体" w:hAnsi="宋体" w:eastAsia="宋体" w:cs="宋体"/>
                <w:b w:val="0"/>
                <w:bCs w:val="0"/>
                <w:color w:val="auto"/>
                <w:szCs w:val="21"/>
                <w:highlight w:val="none"/>
                <w:lang w:val="en-US" w:eastAsia="zh-CN"/>
              </w:rPr>
              <w:t>升压站基础方案</w:t>
            </w:r>
            <w:r>
              <w:rPr>
                <w:rFonts w:hint="eastAsia" w:ascii="宋体" w:hAnsi="宋体" w:eastAsia="宋体" w:cs="宋体"/>
                <w:b w:val="0"/>
                <w:bCs w:val="0"/>
                <w:color w:val="auto"/>
                <w:szCs w:val="21"/>
                <w:highlight w:val="none"/>
              </w:rPr>
              <w:t>（0-</w:t>
            </w:r>
            <w:r>
              <w:rPr>
                <w:rFonts w:hint="eastAsia" w:ascii="宋体" w:hAnsi="宋体" w:eastAsia="宋体" w:cs="宋体"/>
                <w:b w:val="0"/>
                <w:bCs w:val="0"/>
                <w:color w:val="auto"/>
                <w:szCs w:val="21"/>
                <w:highlight w:val="none"/>
                <w:lang w:val="en-US" w:eastAsia="zh-CN"/>
              </w:rPr>
              <w:t>2</w:t>
            </w:r>
            <w:r>
              <w:rPr>
                <w:rFonts w:hint="eastAsia" w:ascii="宋体" w:hAnsi="宋体" w:eastAsia="宋体" w:cs="宋体"/>
                <w:b w:val="0"/>
                <w:bCs w:val="0"/>
                <w:color w:val="auto"/>
                <w:szCs w:val="21"/>
                <w:highlight w:val="none"/>
              </w:rPr>
              <w:t>分）</w:t>
            </w:r>
          </w:p>
          <w:p w14:paraId="19B3BD5F">
            <w:pPr>
              <w:pStyle w:val="103"/>
              <w:spacing w:before="0" w:after="0" w:line="240" w:lineRule="auto"/>
              <w:ind w:firstLine="0" w:firstLineChars="0"/>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注：综合对比投标人提供的方案和图纸内容，酌情打分。</w:t>
            </w:r>
          </w:p>
        </w:tc>
      </w:tr>
      <w:tr w14:paraId="08FF1303">
        <w:trPr>
          <w:trHeight w:val="20" w:hRule="atLeast"/>
          <w:jc w:val="center"/>
        </w:trPr>
        <w:tc>
          <w:tcPr>
            <w:tcW w:w="900" w:type="dxa"/>
            <w:vMerge w:val="continue"/>
            <w:noWrap w:val="0"/>
            <w:vAlign w:val="center"/>
          </w:tcPr>
          <w:p w14:paraId="14973C03">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1A0AC117">
            <w:pPr>
              <w:spacing w:line="240" w:lineRule="auto"/>
              <w:jc w:val="center"/>
              <w:rPr>
                <w:rFonts w:hint="eastAsia" w:ascii="宋体" w:hAnsi="宋体" w:eastAsia="宋体" w:cs="宋体"/>
                <w:color w:val="auto"/>
                <w:szCs w:val="21"/>
                <w:highlight w:val="none"/>
              </w:rPr>
            </w:pPr>
          </w:p>
        </w:tc>
        <w:tc>
          <w:tcPr>
            <w:tcW w:w="1945" w:type="dxa"/>
            <w:vMerge w:val="continue"/>
            <w:noWrap w:val="0"/>
            <w:vAlign w:val="center"/>
          </w:tcPr>
          <w:p w14:paraId="3585023C">
            <w:pPr>
              <w:rPr>
                <w:rFonts w:hint="eastAsia" w:ascii="宋体" w:hAnsi="宋体" w:eastAsia="宋体" w:cs="宋体"/>
                <w:color w:val="auto"/>
                <w:szCs w:val="21"/>
                <w:highlight w:val="none"/>
              </w:rPr>
            </w:pPr>
          </w:p>
        </w:tc>
        <w:tc>
          <w:tcPr>
            <w:tcW w:w="5521" w:type="dxa"/>
            <w:noWrap w:val="0"/>
            <w:vAlign w:val="center"/>
          </w:tcPr>
          <w:p w14:paraId="00A9AFD9">
            <w:pPr>
              <w:spacing w:line="240" w:lineRule="auto"/>
              <w:rPr>
                <w:rFonts w:hint="eastAsia" w:ascii="宋体" w:hAnsi="宋体" w:eastAsia="宋体" w:cs="宋体"/>
                <w:color w:val="auto"/>
                <w:szCs w:val="21"/>
                <w:highlight w:val="none"/>
              </w:rPr>
            </w:pPr>
            <w:r>
              <w:rPr>
                <w:rFonts w:hint="eastAsia" w:ascii="宋体" w:hAnsi="宋体" w:eastAsia="宋体" w:cs="宋体"/>
                <w:bCs/>
                <w:color w:val="auto"/>
                <w:szCs w:val="21"/>
                <w:highlight w:val="none"/>
                <w:lang w:val="en-US" w:eastAsia="zh-CN"/>
              </w:rPr>
              <w:t>4.</w:t>
            </w:r>
            <w:r>
              <w:rPr>
                <w:rFonts w:hint="eastAsia" w:ascii="宋体" w:hAnsi="宋体" w:eastAsia="宋体" w:cs="宋体"/>
                <w:bCs/>
                <w:color w:val="auto"/>
                <w:szCs w:val="21"/>
                <w:highlight w:val="none"/>
              </w:rPr>
              <w:t>厂区部分（</w:t>
            </w:r>
            <w:r>
              <w:rPr>
                <w:rFonts w:hint="eastAsia" w:ascii="宋体" w:hAnsi="宋体" w:eastAsia="宋体" w:cs="宋体"/>
                <w:bCs/>
                <w:color w:val="auto"/>
                <w:szCs w:val="21"/>
                <w:highlight w:val="none"/>
                <w:lang w:val="en-US" w:eastAsia="zh-CN"/>
              </w:rPr>
              <w:t>4</w:t>
            </w:r>
            <w:r>
              <w:rPr>
                <w:rFonts w:hint="eastAsia" w:ascii="宋体" w:hAnsi="宋体" w:eastAsia="宋体" w:cs="宋体"/>
                <w:bCs/>
                <w:color w:val="auto"/>
                <w:szCs w:val="21"/>
                <w:highlight w:val="none"/>
              </w:rPr>
              <w:t>分）</w:t>
            </w:r>
          </w:p>
          <w:p w14:paraId="15D720E8">
            <w:pPr>
              <w:numPr>
                <w:ilvl w:val="0"/>
                <w:numId w:val="0"/>
              </w:num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1）</w:t>
            </w:r>
            <w:r>
              <w:rPr>
                <w:rFonts w:hint="eastAsia" w:ascii="宋体" w:hAnsi="宋体" w:eastAsia="宋体" w:cs="宋体"/>
                <w:color w:val="auto"/>
                <w:szCs w:val="21"/>
                <w:highlight w:val="none"/>
              </w:rPr>
              <w:t>光伏厂区总布置方案及总平面布置图纸；场区辅助设施方案（包括厂区围栏、全场监控、厂区消防工程方案、厂区道路等（0-</w:t>
            </w:r>
            <w:r>
              <w:rPr>
                <w:rFonts w:hint="eastAsia" w:ascii="宋体" w:hAnsi="宋体" w:eastAsia="宋体" w:cs="宋体"/>
                <w:color w:val="auto"/>
                <w:szCs w:val="21"/>
                <w:highlight w:val="none"/>
                <w:lang w:val="en-US" w:eastAsia="zh-CN"/>
              </w:rPr>
              <w:t>3</w:t>
            </w:r>
            <w:r>
              <w:rPr>
                <w:rFonts w:hint="eastAsia" w:ascii="宋体" w:hAnsi="宋体" w:eastAsia="宋体" w:cs="宋体"/>
                <w:color w:val="auto"/>
                <w:szCs w:val="21"/>
                <w:highlight w:val="none"/>
              </w:rPr>
              <w:t>分）。</w:t>
            </w:r>
          </w:p>
          <w:p w14:paraId="7793B3A4">
            <w:pPr>
              <w:pStyle w:val="103"/>
              <w:ind w:firstLine="0" w:firstLineChars="0"/>
              <w:rPr>
                <w:rFonts w:hint="eastAsia" w:ascii="宋体" w:hAnsi="宋体" w:eastAsia="宋体" w:cs="宋体"/>
                <w:color w:val="auto"/>
                <w:szCs w:val="21"/>
                <w:highlight w:val="none"/>
              </w:rPr>
            </w:pPr>
            <w:r>
              <w:rPr>
                <w:rFonts w:hint="eastAsia" w:ascii="宋体" w:hAnsi="宋体" w:eastAsia="宋体" w:cs="宋体"/>
                <w:b w:val="0"/>
                <w:bCs w:val="0"/>
                <w:color w:val="auto"/>
                <w:szCs w:val="21"/>
                <w:highlight w:val="none"/>
                <w:lang w:val="en-US" w:eastAsia="zh-CN"/>
              </w:rPr>
              <w:t>2）</w:t>
            </w:r>
            <w:r>
              <w:rPr>
                <w:rFonts w:hint="eastAsia" w:ascii="宋体" w:hAnsi="宋体" w:eastAsia="宋体" w:cs="宋体"/>
                <w:b w:val="0"/>
                <w:bCs w:val="0"/>
                <w:color w:val="auto"/>
                <w:szCs w:val="21"/>
                <w:highlight w:val="none"/>
              </w:rPr>
              <w:t>光伏阵列防风专项方案（0-</w:t>
            </w:r>
            <w:r>
              <w:rPr>
                <w:rFonts w:hint="eastAsia" w:ascii="宋体" w:hAnsi="宋体" w:eastAsia="宋体" w:cs="宋体"/>
                <w:b w:val="0"/>
                <w:bCs w:val="0"/>
                <w:color w:val="auto"/>
                <w:szCs w:val="21"/>
                <w:highlight w:val="none"/>
                <w:lang w:eastAsia="zh-CN"/>
              </w:rPr>
              <w:t>1</w:t>
            </w:r>
            <w:r>
              <w:rPr>
                <w:rFonts w:hint="eastAsia" w:ascii="宋体" w:hAnsi="宋体" w:eastAsia="宋体" w:cs="宋体"/>
                <w:b w:val="0"/>
                <w:bCs w:val="0"/>
                <w:color w:val="auto"/>
                <w:szCs w:val="21"/>
                <w:highlight w:val="none"/>
              </w:rPr>
              <w:t>分）。</w:t>
            </w:r>
          </w:p>
          <w:p w14:paraId="6403ED2E">
            <w:pPr>
              <w:pStyle w:val="103"/>
              <w:spacing w:before="0" w:after="0" w:line="240" w:lineRule="auto"/>
              <w:ind w:firstLine="0" w:firstLineChars="0"/>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注：综合对比投标人提供的方案和图纸内容，酌情打分。</w:t>
            </w:r>
          </w:p>
        </w:tc>
      </w:tr>
      <w:tr w14:paraId="0522B793">
        <w:trPr>
          <w:trHeight w:val="20" w:hRule="atLeast"/>
          <w:jc w:val="center"/>
        </w:trPr>
        <w:tc>
          <w:tcPr>
            <w:tcW w:w="900" w:type="dxa"/>
            <w:vMerge w:val="continue"/>
            <w:noWrap w:val="0"/>
            <w:vAlign w:val="center"/>
          </w:tcPr>
          <w:p w14:paraId="2A68D223">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48B2441D">
            <w:pPr>
              <w:spacing w:line="240" w:lineRule="auto"/>
              <w:jc w:val="center"/>
              <w:rPr>
                <w:rFonts w:hint="eastAsia" w:ascii="宋体" w:hAnsi="宋体" w:eastAsia="宋体" w:cs="宋体"/>
                <w:color w:val="auto"/>
                <w:szCs w:val="21"/>
                <w:highlight w:val="none"/>
              </w:rPr>
            </w:pPr>
          </w:p>
        </w:tc>
        <w:tc>
          <w:tcPr>
            <w:tcW w:w="1945" w:type="dxa"/>
            <w:vMerge w:val="continue"/>
            <w:noWrap w:val="0"/>
            <w:vAlign w:val="center"/>
          </w:tcPr>
          <w:p w14:paraId="0CB00DD2">
            <w:pPr>
              <w:rPr>
                <w:rFonts w:hint="eastAsia" w:ascii="宋体" w:hAnsi="宋体" w:eastAsia="宋体" w:cs="宋体"/>
                <w:color w:val="auto"/>
                <w:szCs w:val="21"/>
                <w:highlight w:val="none"/>
              </w:rPr>
            </w:pPr>
          </w:p>
        </w:tc>
        <w:tc>
          <w:tcPr>
            <w:tcW w:w="5521" w:type="dxa"/>
            <w:noWrap w:val="0"/>
            <w:vAlign w:val="center"/>
          </w:tcPr>
          <w:p w14:paraId="5B7FCA3E">
            <w:pPr>
              <w:pStyle w:val="103"/>
              <w:numPr>
                <w:ilvl w:val="0"/>
                <w:numId w:val="0"/>
              </w:numPr>
              <w:spacing w:before="0" w:after="0" w:line="240" w:lineRule="auto"/>
              <w:ind w:left="0" w:firstLine="0" w:firstLineChars="0"/>
              <w:rPr>
                <w:rFonts w:hint="eastAsia" w:ascii="宋体" w:hAnsi="宋体" w:eastAsia="宋体" w:cs="宋体"/>
                <w:b/>
                <w:bCs/>
                <w:color w:val="auto"/>
                <w:szCs w:val="21"/>
                <w:highlight w:val="none"/>
                <w:lang w:val="en-US" w:eastAsia="zh-CN"/>
              </w:rPr>
            </w:pPr>
            <w:r>
              <w:rPr>
                <w:rFonts w:hint="eastAsia" w:ascii="宋体" w:hAnsi="宋体" w:eastAsia="宋体" w:cs="宋体"/>
                <w:b/>
                <w:bCs/>
                <w:color w:val="auto"/>
                <w:szCs w:val="21"/>
                <w:highlight w:val="none"/>
                <w:lang w:val="en-US" w:eastAsia="zh-CN"/>
              </w:rPr>
              <w:t>5.储能部分（4分）</w:t>
            </w:r>
          </w:p>
          <w:p w14:paraId="6A6AF89D">
            <w:pPr>
              <w:pStyle w:val="103"/>
              <w:numPr>
                <w:ilvl w:val="0"/>
                <w:numId w:val="0"/>
              </w:numPr>
              <w:spacing w:before="0" w:after="0" w:line="240" w:lineRule="auto"/>
              <w:ind w:left="0" w:firstLine="0" w:firstLineChars="0"/>
              <w:rPr>
                <w:rFonts w:hint="default" w:ascii="宋体" w:hAnsi="宋体" w:eastAsia="宋体" w:cs="宋体"/>
                <w:b/>
                <w:bCs/>
                <w:color w:val="auto"/>
                <w:szCs w:val="21"/>
                <w:highlight w:val="none"/>
                <w:lang w:val="en-US" w:eastAsia="zh-CN"/>
              </w:rPr>
            </w:pPr>
            <w:r>
              <w:rPr>
                <w:rFonts w:hint="eastAsia" w:ascii="宋体" w:hAnsi="宋体" w:eastAsia="宋体" w:cs="宋体"/>
                <w:b/>
                <w:bCs/>
                <w:color w:val="auto"/>
                <w:szCs w:val="21"/>
                <w:highlight w:val="none"/>
                <w:lang w:val="en-US" w:eastAsia="zh-CN"/>
              </w:rPr>
              <w:t>储能系统设计、施工方案，</w:t>
            </w:r>
            <w:r>
              <w:rPr>
                <w:rFonts w:hint="eastAsia" w:ascii="宋体" w:hAnsi="宋体" w:eastAsia="宋体" w:cs="宋体"/>
                <w:color w:val="auto"/>
                <w:szCs w:val="21"/>
                <w:highlight w:val="none"/>
                <w:lang w:val="en-US" w:eastAsia="zh-CN"/>
              </w:rPr>
              <w:t>储能系统布局图。</w:t>
            </w:r>
            <w:r>
              <w:rPr>
                <w:rFonts w:hint="eastAsia" w:ascii="宋体" w:hAnsi="宋体" w:eastAsia="宋体" w:cs="宋体"/>
                <w:b w:val="0"/>
                <w:bCs w:val="0"/>
                <w:color w:val="auto"/>
                <w:szCs w:val="21"/>
                <w:highlight w:val="none"/>
              </w:rPr>
              <w:t>（0-</w:t>
            </w:r>
            <w:r>
              <w:rPr>
                <w:rFonts w:hint="eastAsia" w:ascii="宋体" w:hAnsi="宋体" w:eastAsia="宋体" w:cs="宋体"/>
                <w:b w:val="0"/>
                <w:bCs w:val="0"/>
                <w:color w:val="auto"/>
                <w:szCs w:val="21"/>
                <w:highlight w:val="none"/>
                <w:lang w:val="en-US" w:eastAsia="zh-CN"/>
              </w:rPr>
              <w:t>4</w:t>
            </w:r>
            <w:r>
              <w:rPr>
                <w:rFonts w:hint="eastAsia" w:ascii="宋体" w:hAnsi="宋体" w:eastAsia="宋体" w:cs="宋体"/>
                <w:b w:val="0"/>
                <w:bCs w:val="0"/>
                <w:color w:val="auto"/>
                <w:szCs w:val="21"/>
                <w:highlight w:val="none"/>
              </w:rPr>
              <w:t>分）</w:t>
            </w:r>
          </w:p>
        </w:tc>
      </w:tr>
      <w:tr w14:paraId="17A46C11">
        <w:trPr>
          <w:trHeight w:val="20" w:hRule="atLeast"/>
          <w:jc w:val="center"/>
        </w:trPr>
        <w:tc>
          <w:tcPr>
            <w:tcW w:w="900" w:type="dxa"/>
            <w:vMerge w:val="continue"/>
            <w:noWrap w:val="0"/>
            <w:vAlign w:val="center"/>
          </w:tcPr>
          <w:p w14:paraId="3A2A96A1">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646A2CCE">
            <w:pPr>
              <w:spacing w:line="240" w:lineRule="auto"/>
              <w:jc w:val="center"/>
              <w:rPr>
                <w:rFonts w:hint="eastAsia" w:ascii="宋体" w:hAnsi="宋体" w:eastAsia="宋体" w:cs="宋体"/>
                <w:color w:val="auto"/>
                <w:szCs w:val="21"/>
                <w:highlight w:val="none"/>
              </w:rPr>
            </w:pPr>
          </w:p>
        </w:tc>
        <w:tc>
          <w:tcPr>
            <w:tcW w:w="1945" w:type="dxa"/>
            <w:vMerge w:val="continue"/>
            <w:noWrap w:val="0"/>
            <w:vAlign w:val="center"/>
          </w:tcPr>
          <w:p w14:paraId="3A8A023A">
            <w:pPr>
              <w:rPr>
                <w:rFonts w:hint="eastAsia" w:ascii="宋体" w:hAnsi="宋体" w:eastAsia="宋体" w:cs="宋体"/>
                <w:color w:val="auto"/>
                <w:szCs w:val="21"/>
                <w:highlight w:val="none"/>
              </w:rPr>
            </w:pPr>
          </w:p>
        </w:tc>
        <w:tc>
          <w:tcPr>
            <w:tcW w:w="5521" w:type="dxa"/>
            <w:noWrap w:val="0"/>
            <w:vAlign w:val="center"/>
          </w:tcPr>
          <w:p w14:paraId="51D3F850">
            <w:pPr>
              <w:spacing w:line="240" w:lineRule="auto"/>
              <w:rPr>
                <w:rFonts w:hint="eastAsia" w:ascii="宋体" w:hAnsi="宋体" w:eastAsia="宋体" w:cs="宋体"/>
                <w:bCs/>
                <w:color w:val="auto"/>
                <w:szCs w:val="21"/>
                <w:highlight w:val="none"/>
              </w:rPr>
            </w:pPr>
            <w:r>
              <w:rPr>
                <w:rFonts w:hint="eastAsia" w:ascii="宋体" w:hAnsi="宋体" w:eastAsia="宋体" w:cs="宋体"/>
                <w:b/>
                <w:color w:val="auto"/>
                <w:highlight w:val="none"/>
                <w:lang w:val="en-US" w:eastAsia="zh-CN"/>
              </w:rPr>
              <w:t>6</w:t>
            </w:r>
            <w:r>
              <w:rPr>
                <w:rFonts w:hint="eastAsia" w:ascii="宋体" w:hAnsi="宋体" w:eastAsia="宋体" w:cs="宋体"/>
                <w:b/>
                <w:color w:val="auto"/>
                <w:highlight w:val="none"/>
              </w:rPr>
              <w:t>.</w:t>
            </w:r>
            <w:r>
              <w:rPr>
                <w:rFonts w:hint="eastAsia" w:ascii="宋体" w:hAnsi="宋体" w:eastAsia="宋体" w:cs="宋体"/>
                <w:bCs/>
                <w:color w:val="auto"/>
                <w:szCs w:val="21"/>
                <w:highlight w:val="none"/>
              </w:rPr>
              <w:t xml:space="preserve"> </w:t>
            </w:r>
            <w:r>
              <w:rPr>
                <w:rFonts w:hint="eastAsia" w:ascii="宋体" w:hAnsi="宋体" w:eastAsia="宋体" w:cs="宋体"/>
                <w:bCs/>
                <w:color w:val="auto"/>
                <w:szCs w:val="21"/>
                <w:highlight w:val="none"/>
                <w:lang w:val="en-US" w:eastAsia="zh-CN"/>
              </w:rPr>
              <w:t>其他</w:t>
            </w:r>
            <w:r>
              <w:rPr>
                <w:rFonts w:hint="eastAsia" w:ascii="宋体" w:hAnsi="宋体" w:eastAsia="宋体" w:cs="宋体"/>
                <w:bCs/>
                <w:color w:val="auto"/>
                <w:szCs w:val="21"/>
                <w:highlight w:val="none"/>
              </w:rPr>
              <w:t>（</w:t>
            </w:r>
            <w:r>
              <w:rPr>
                <w:rFonts w:hint="eastAsia" w:ascii="宋体" w:hAnsi="宋体" w:eastAsia="宋体" w:cs="宋体"/>
                <w:bCs/>
                <w:color w:val="auto"/>
                <w:szCs w:val="21"/>
                <w:highlight w:val="none"/>
                <w:lang w:val="en-US" w:eastAsia="zh-CN"/>
              </w:rPr>
              <w:t>5</w:t>
            </w:r>
            <w:r>
              <w:rPr>
                <w:rFonts w:hint="eastAsia" w:ascii="宋体" w:hAnsi="宋体" w:eastAsia="宋体" w:cs="宋体"/>
                <w:bCs/>
                <w:color w:val="auto"/>
                <w:szCs w:val="21"/>
                <w:highlight w:val="none"/>
              </w:rPr>
              <w:t>分）：</w:t>
            </w:r>
          </w:p>
          <w:p w14:paraId="7AB4B91D">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出图时间及计划</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防雷接地方案、监控系统</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组件清洗方案、围栏道路及其他配套</w:t>
            </w:r>
            <w:r>
              <w:rPr>
                <w:rFonts w:hint="eastAsia" w:ascii="宋体" w:hAnsi="宋体" w:eastAsia="宋体" w:cs="宋体"/>
                <w:color w:val="auto"/>
                <w:szCs w:val="21"/>
                <w:highlight w:val="none"/>
              </w:rPr>
              <w:t>内容（0-</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p w14:paraId="490FBEA7">
            <w:pPr>
              <w:pStyle w:val="103"/>
              <w:spacing w:before="0" w:after="0" w:line="240" w:lineRule="auto"/>
              <w:ind w:firstLine="0" w:firstLineChars="0"/>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注：根据投标人提供的出图时间及计划、方案等内容横向比较酌情打分。</w:t>
            </w:r>
          </w:p>
        </w:tc>
      </w:tr>
      <w:tr w14:paraId="55388078">
        <w:trPr>
          <w:trHeight w:val="20" w:hRule="atLeast"/>
          <w:jc w:val="center"/>
        </w:trPr>
        <w:tc>
          <w:tcPr>
            <w:tcW w:w="900" w:type="dxa"/>
            <w:vMerge w:val="continue"/>
            <w:noWrap w:val="0"/>
            <w:vAlign w:val="top"/>
          </w:tcPr>
          <w:p w14:paraId="0BDA8017">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top"/>
          </w:tcPr>
          <w:p w14:paraId="45B582A2">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55B11733">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施工方案</w:t>
            </w:r>
          </w:p>
          <w:p w14:paraId="7E06285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val="en-US" w:eastAsia="zh-CN"/>
              </w:rPr>
              <w:t>10</w:t>
            </w:r>
            <w:r>
              <w:rPr>
                <w:rFonts w:hint="eastAsia" w:ascii="宋体" w:hAnsi="宋体" w:eastAsia="宋体" w:cs="宋体"/>
                <w:color w:val="auto"/>
                <w:szCs w:val="21"/>
                <w:highlight w:val="none"/>
              </w:rPr>
              <w:t>分）</w:t>
            </w:r>
          </w:p>
        </w:tc>
        <w:tc>
          <w:tcPr>
            <w:tcW w:w="5521" w:type="dxa"/>
            <w:noWrap w:val="0"/>
            <w:vAlign w:val="center"/>
          </w:tcPr>
          <w:p w14:paraId="6F524632">
            <w:pPr>
              <w:spacing w:line="240" w:lineRule="auto"/>
              <w:jc w:val="left"/>
              <w:rPr>
                <w:rFonts w:hint="eastAsia" w:ascii="宋体" w:hAnsi="宋体" w:eastAsia="宋体" w:cs="宋体"/>
                <w:color w:val="auto"/>
                <w:szCs w:val="21"/>
                <w:highlight w:val="none"/>
              </w:rPr>
            </w:pPr>
            <w:r>
              <w:rPr>
                <w:rFonts w:hint="eastAsia" w:ascii="宋体" w:hAnsi="宋体" w:eastAsia="宋体" w:cs="宋体"/>
                <w:bCs/>
                <w:color w:val="auto"/>
                <w:szCs w:val="21"/>
                <w:highlight w:val="none"/>
              </w:rPr>
              <w:t>项目施工方案：</w:t>
            </w:r>
            <w:r>
              <w:rPr>
                <w:rFonts w:hint="eastAsia" w:ascii="宋体" w:hAnsi="宋体" w:eastAsia="宋体" w:cs="宋体"/>
                <w:color w:val="auto"/>
                <w:szCs w:val="21"/>
                <w:highlight w:val="none"/>
              </w:rPr>
              <w:t>工程详细施工进度计划方案（标准及要求详见技术册）；工程质量控制方案（包括隐蔽工程质量控制及主要设备检验方案；工程安全组织措施与方案（标准及要求详见技术册）；土建工程和安装工程施工方案与技术措施（标准及要求见技术册）；文明施工与环境保护措施（0-</w:t>
            </w:r>
            <w:r>
              <w:rPr>
                <w:rFonts w:hint="eastAsia" w:ascii="宋体" w:hAnsi="宋体" w:eastAsia="宋体" w:cs="宋体"/>
                <w:color w:val="auto"/>
                <w:szCs w:val="21"/>
                <w:highlight w:val="none"/>
                <w:lang w:val="en-US" w:eastAsia="zh-CN"/>
              </w:rPr>
              <w:t>10</w:t>
            </w:r>
            <w:r>
              <w:rPr>
                <w:rFonts w:hint="eastAsia" w:ascii="宋体" w:hAnsi="宋体" w:eastAsia="宋体" w:cs="宋体"/>
                <w:color w:val="auto"/>
                <w:szCs w:val="21"/>
                <w:highlight w:val="none"/>
              </w:rPr>
              <w:t>分）</w:t>
            </w:r>
            <w:r>
              <w:rPr>
                <w:rFonts w:hint="eastAsia" w:ascii="宋体" w:hAnsi="宋体" w:eastAsia="宋体" w:cs="宋体"/>
                <w:color w:val="auto"/>
                <w:szCs w:val="21"/>
                <w:highlight w:val="none"/>
                <w:lang w:eastAsia="zh-CN"/>
              </w:rPr>
              <w:t>。</w:t>
            </w:r>
          </w:p>
          <w:p w14:paraId="6E15AA13">
            <w:pPr>
              <w:spacing w:line="240" w:lineRule="auto"/>
              <w:jc w:val="left"/>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注：根据投标人提供的方案详细程度、内容完整性、重点突出程度酌情打分。</w:t>
            </w:r>
          </w:p>
        </w:tc>
      </w:tr>
      <w:tr w14:paraId="5F769477">
        <w:trPr>
          <w:trHeight w:val="20" w:hRule="atLeast"/>
          <w:jc w:val="center"/>
        </w:trPr>
        <w:tc>
          <w:tcPr>
            <w:tcW w:w="900" w:type="dxa"/>
            <w:vMerge w:val="continue"/>
            <w:noWrap w:val="0"/>
            <w:vAlign w:val="top"/>
          </w:tcPr>
          <w:p w14:paraId="0EAB59C2">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top"/>
          </w:tcPr>
          <w:p w14:paraId="105437B9">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06C0993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服务方案的选择</w:t>
            </w:r>
          </w:p>
          <w:p w14:paraId="79D40F0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（5分）</w:t>
            </w:r>
          </w:p>
        </w:tc>
        <w:tc>
          <w:tcPr>
            <w:tcW w:w="5521" w:type="dxa"/>
            <w:noWrap w:val="0"/>
            <w:vAlign w:val="center"/>
          </w:tcPr>
          <w:p w14:paraId="7BD853EF">
            <w:pPr>
              <w:spacing w:line="240" w:lineRule="auto"/>
              <w:jc w:val="left"/>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主要设备的到货计划、投标人需提供该项目所使用的所有设备的采购方案（公开招标、邀请招标、非招标采购方式以及相对应的采购程序）。投标人需提供中标后本项目的采购负责人及联系方式、服务分包的选择方式及具体流程；售后响应时间及服务承诺（0-5分）</w:t>
            </w:r>
            <w:r>
              <w:rPr>
                <w:rFonts w:hint="eastAsia" w:ascii="宋体" w:hAnsi="宋体" w:eastAsia="宋体" w:cs="宋体"/>
                <w:color w:val="auto"/>
                <w:szCs w:val="21"/>
                <w:highlight w:val="none"/>
                <w:lang w:eastAsia="zh-CN"/>
              </w:rPr>
              <w:t>。</w:t>
            </w:r>
          </w:p>
          <w:p w14:paraId="0CDCC645">
            <w:pPr>
              <w:spacing w:line="240" w:lineRule="auto"/>
              <w:jc w:val="left"/>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注：根据投标人提供的方案详细程度、内容完整性、重点突出程度酌情打分。</w:t>
            </w:r>
          </w:p>
        </w:tc>
      </w:tr>
      <w:bookmarkEnd w:id="48"/>
      <w:bookmarkEnd w:id="49"/>
      <w:bookmarkEnd w:id="50"/>
      <w:bookmarkEnd w:id="51"/>
      <w:bookmarkEnd w:id="52"/>
    </w:tbl>
    <w:p w14:paraId="7B88A95A">
      <w:pPr>
        <w:pStyle w:val="5"/>
        <w:numPr>
          <w:numId w:val="0"/>
        </w:numPr>
        <w:spacing w:before="0" w:after="0" w:line="360" w:lineRule="auto"/>
        <w:ind w:left="-567" w:leftChars="0"/>
        <w:rPr>
          <w:rFonts w:hint="eastAsia" w:ascii="宋体" w:hAnsi="宋体" w:cs="宋体"/>
          <w:color w:val="auto"/>
          <w:szCs w:val="21"/>
          <w:highlight w:val="none"/>
        </w:rPr>
      </w:pPr>
      <w:bookmarkStart w:id="60" w:name="_Toc152045600"/>
      <w:bookmarkStart w:id="61" w:name="_Toc22751"/>
      <w:bookmarkStart w:id="62" w:name="_Toc88741198"/>
      <w:bookmarkStart w:id="63" w:name="_Toc21192"/>
      <w:bookmarkStart w:id="64" w:name="_Toc513706637"/>
      <w:bookmarkStart w:id="65" w:name="_Toc89711862"/>
      <w:bookmarkStart w:id="66" w:name="_Toc247514024"/>
      <w:bookmarkStart w:id="67" w:name="_Toc144974567"/>
      <w:bookmarkStart w:id="68" w:name="_Toc514325864"/>
      <w:bookmarkStart w:id="69" w:name="_Toc513812009"/>
      <w:bookmarkStart w:id="70" w:name="_Toc247527625"/>
      <w:bookmarkStart w:id="71" w:name="_Toc152042377"/>
      <w:r>
        <w:rPr>
          <w:rFonts w:hint="eastAsia" w:ascii="宋体" w:hAnsi="宋体" w:cs="宋体"/>
          <w:color w:val="auto"/>
          <w:szCs w:val="21"/>
          <w:highlight w:val="none"/>
        </w:rPr>
        <w:t>1. 评标方法</w:t>
      </w:r>
      <w:bookmarkEnd w:id="60"/>
      <w:bookmarkEnd w:id="61"/>
      <w:bookmarkEnd w:id="62"/>
      <w:bookmarkEnd w:id="63"/>
      <w:bookmarkEnd w:id="64"/>
      <w:bookmarkEnd w:id="65"/>
      <w:bookmarkEnd w:id="66"/>
      <w:bookmarkEnd w:id="67"/>
      <w:bookmarkEnd w:id="68"/>
      <w:bookmarkEnd w:id="69"/>
      <w:bookmarkEnd w:id="70"/>
      <w:bookmarkEnd w:id="71"/>
    </w:p>
    <w:p w14:paraId="6A16DAA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本次评标采用综合评估法。评标委员会对满足招标文件实质性要求的投标文件，按照本章第2.2款规定的评分标准进行打分，并按得分由高到低顺序推荐中标候选人，但投标报价低于其成本的除外。综合评分相等时，以投标报价低的优先；投标报价也相等的，由评标委员会投票确定。</w:t>
      </w:r>
    </w:p>
    <w:p w14:paraId="15891B8D">
      <w:pPr>
        <w:pStyle w:val="5"/>
        <w:numPr>
          <w:numId w:val="0"/>
        </w:numPr>
        <w:spacing w:before="0" w:after="0" w:line="360" w:lineRule="auto"/>
        <w:ind w:left="-567" w:leftChars="0"/>
        <w:rPr>
          <w:rFonts w:hint="eastAsia" w:ascii="宋体" w:hAnsi="宋体" w:cs="宋体"/>
          <w:color w:val="auto"/>
          <w:szCs w:val="21"/>
          <w:highlight w:val="none"/>
        </w:rPr>
      </w:pPr>
      <w:bookmarkStart w:id="72" w:name="_Toc513812010"/>
      <w:bookmarkStart w:id="73" w:name="_Toc514325865"/>
      <w:bookmarkStart w:id="74" w:name="_Toc26124"/>
      <w:bookmarkStart w:id="75" w:name="_Toc247514025"/>
      <w:bookmarkStart w:id="76" w:name="_Toc19837"/>
      <w:bookmarkStart w:id="77" w:name="_Toc152045601"/>
      <w:bookmarkStart w:id="78" w:name="_Toc144974568"/>
      <w:bookmarkStart w:id="79" w:name="_Toc513706638"/>
      <w:bookmarkStart w:id="80" w:name="_Toc247527626"/>
      <w:bookmarkStart w:id="81" w:name="_Toc89711863"/>
      <w:bookmarkStart w:id="82" w:name="_Toc88741199"/>
      <w:bookmarkStart w:id="83" w:name="_Toc152042378"/>
      <w:r>
        <w:rPr>
          <w:rFonts w:hint="eastAsia" w:ascii="宋体" w:hAnsi="宋体" w:cs="宋体"/>
          <w:color w:val="auto"/>
          <w:szCs w:val="21"/>
          <w:highlight w:val="none"/>
        </w:rPr>
        <w:t>2. 评审标准</w:t>
      </w:r>
      <w:bookmarkEnd w:id="72"/>
      <w:bookmarkEnd w:id="73"/>
      <w:bookmarkEnd w:id="74"/>
      <w:bookmarkEnd w:id="75"/>
      <w:bookmarkEnd w:id="76"/>
      <w:bookmarkEnd w:id="77"/>
      <w:bookmarkEnd w:id="78"/>
      <w:bookmarkEnd w:id="79"/>
      <w:bookmarkEnd w:id="80"/>
      <w:bookmarkEnd w:id="81"/>
      <w:bookmarkEnd w:id="82"/>
      <w:bookmarkEnd w:id="83"/>
    </w:p>
    <w:p w14:paraId="2B1A1B57">
      <w:pPr>
        <w:pStyle w:val="6"/>
        <w:numPr>
          <w:numId w:val="0"/>
        </w:numPr>
        <w:spacing w:before="0" w:after="0" w:line="360" w:lineRule="auto"/>
        <w:ind w:left="103" w:leftChars="0"/>
        <w:rPr>
          <w:rFonts w:hint="eastAsia" w:ascii="宋体" w:cs="宋体"/>
          <w:color w:val="auto"/>
          <w:szCs w:val="21"/>
          <w:highlight w:val="none"/>
        </w:rPr>
      </w:pPr>
      <w:bookmarkStart w:id="84" w:name="_Toc247514026"/>
      <w:bookmarkStart w:id="85" w:name="_Toc89711864"/>
      <w:bookmarkStart w:id="86" w:name="_Toc513706639"/>
      <w:bookmarkStart w:id="87" w:name="_Toc152045602"/>
      <w:bookmarkStart w:id="88" w:name="_Toc152042379"/>
      <w:bookmarkStart w:id="89" w:name="_Toc247527627"/>
      <w:bookmarkStart w:id="90" w:name="_Toc88741200"/>
      <w:bookmarkStart w:id="91" w:name="_Toc513812011"/>
      <w:bookmarkStart w:id="92" w:name="_Toc17650"/>
      <w:bookmarkStart w:id="93" w:name="_Toc514325866"/>
      <w:bookmarkStart w:id="94" w:name="_Toc144974569"/>
      <w:bookmarkStart w:id="95" w:name="_Toc28922"/>
      <w:r>
        <w:rPr>
          <w:rFonts w:hint="eastAsia" w:ascii="宋体" w:cs="宋体"/>
          <w:color w:val="auto"/>
          <w:szCs w:val="21"/>
          <w:highlight w:val="none"/>
        </w:rPr>
        <w:t>2.1 初步评审标准</w:t>
      </w:r>
      <w:bookmarkEnd w:id="84"/>
      <w:bookmarkEnd w:id="85"/>
      <w:bookmarkEnd w:id="86"/>
      <w:bookmarkEnd w:id="87"/>
      <w:bookmarkEnd w:id="88"/>
      <w:bookmarkEnd w:id="89"/>
      <w:bookmarkEnd w:id="90"/>
      <w:bookmarkEnd w:id="91"/>
      <w:bookmarkEnd w:id="92"/>
      <w:bookmarkEnd w:id="93"/>
      <w:bookmarkEnd w:id="94"/>
      <w:bookmarkEnd w:id="95"/>
    </w:p>
    <w:p w14:paraId="36C472C9">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2.1.1 形式评审标准：见评标办法前附表。</w:t>
      </w:r>
    </w:p>
    <w:p w14:paraId="52F850BD">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2.1.2 资格评审标准：见评标办法前附表。</w:t>
      </w:r>
    </w:p>
    <w:p w14:paraId="55F3E4A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2.1.3 响应性评审标准：见评标办法前附表。</w:t>
      </w:r>
    </w:p>
    <w:p w14:paraId="713CA923">
      <w:pPr>
        <w:pStyle w:val="6"/>
        <w:numPr>
          <w:numId w:val="0"/>
        </w:numPr>
        <w:spacing w:before="0" w:after="0" w:line="360" w:lineRule="auto"/>
        <w:ind w:left="103" w:leftChars="0"/>
        <w:rPr>
          <w:rFonts w:hint="eastAsia" w:ascii="宋体" w:cs="宋体"/>
          <w:color w:val="auto"/>
          <w:szCs w:val="21"/>
          <w:highlight w:val="none"/>
        </w:rPr>
      </w:pPr>
      <w:bookmarkStart w:id="96" w:name="_Toc247527628"/>
      <w:bookmarkStart w:id="97" w:name="_Toc144974570"/>
      <w:bookmarkStart w:id="98" w:name="_Toc89711865"/>
      <w:bookmarkStart w:id="99" w:name="_Toc152042380"/>
      <w:bookmarkStart w:id="100" w:name="_Toc28468"/>
      <w:bookmarkStart w:id="101" w:name="_Toc152045603"/>
      <w:bookmarkStart w:id="102" w:name="_Toc11803"/>
      <w:bookmarkStart w:id="103" w:name="_Toc513812012"/>
      <w:bookmarkStart w:id="104" w:name="_Toc247514027"/>
      <w:bookmarkStart w:id="105" w:name="_Toc514325867"/>
      <w:bookmarkStart w:id="106" w:name="_Toc88741201"/>
      <w:bookmarkStart w:id="107" w:name="_Toc513706640"/>
      <w:r>
        <w:rPr>
          <w:rFonts w:hint="eastAsia" w:ascii="宋体" w:cs="宋体"/>
          <w:color w:val="auto"/>
          <w:szCs w:val="21"/>
          <w:highlight w:val="none"/>
        </w:rPr>
        <w:t>2.2 分值构成与评分标准</w:t>
      </w:r>
      <w:bookmarkEnd w:id="96"/>
      <w:bookmarkEnd w:id="97"/>
      <w:bookmarkEnd w:id="98"/>
      <w:bookmarkEnd w:id="99"/>
      <w:bookmarkEnd w:id="100"/>
      <w:bookmarkEnd w:id="101"/>
      <w:bookmarkEnd w:id="102"/>
      <w:bookmarkEnd w:id="103"/>
      <w:bookmarkEnd w:id="104"/>
      <w:bookmarkEnd w:id="105"/>
      <w:bookmarkEnd w:id="106"/>
      <w:bookmarkEnd w:id="107"/>
    </w:p>
    <w:p w14:paraId="60710D3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2.2.1 分值构成</w:t>
      </w:r>
    </w:p>
    <w:p w14:paraId="1DF5EE6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见评标办法前附表；</w:t>
      </w:r>
    </w:p>
    <w:p w14:paraId="5DB90C7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2.2.2 评标基准价计算</w:t>
      </w:r>
    </w:p>
    <w:p w14:paraId="51A1982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评标基准价计算方法：见评标办法前附表。</w:t>
      </w:r>
    </w:p>
    <w:p w14:paraId="7445DC3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2.2.3 投标报价的偏差率计算</w:t>
      </w:r>
    </w:p>
    <w:p w14:paraId="5E289315">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投标报价的偏差率计算公式：见评标办法前附表。</w:t>
      </w:r>
    </w:p>
    <w:p w14:paraId="554C43C5">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2.2.4 评分标准</w:t>
      </w:r>
    </w:p>
    <w:p w14:paraId="52D2548C">
      <w:pPr>
        <w:ind w:firstLine="480" w:firstLineChars="200"/>
        <w:rPr>
          <w:rFonts w:hint="eastAsia" w:ascii="宋体" w:hAnsi="宋体" w:cs="宋体"/>
          <w:color w:val="auto"/>
          <w:szCs w:val="21"/>
          <w:highlight w:val="none"/>
        </w:rPr>
      </w:pPr>
      <w:bookmarkStart w:id="108" w:name="_Toc144974571"/>
      <w:bookmarkStart w:id="109" w:name="_Toc152045604"/>
      <w:bookmarkStart w:id="110" w:name="_Toc247527629"/>
      <w:bookmarkStart w:id="111" w:name="_Toc152042381"/>
      <w:bookmarkStart w:id="112" w:name="_Toc247514028"/>
      <w:bookmarkStart w:id="113" w:name="_Toc513706641"/>
      <w:bookmarkStart w:id="114" w:name="_Toc513812013"/>
      <w:r>
        <w:rPr>
          <w:rFonts w:hint="eastAsia" w:ascii="宋体" w:hAnsi="宋体" w:cs="宋体"/>
          <w:color w:val="auto"/>
          <w:szCs w:val="21"/>
          <w:highlight w:val="none"/>
        </w:rPr>
        <w:t>见评标办法前附表；</w:t>
      </w:r>
    </w:p>
    <w:p w14:paraId="3AB52C27">
      <w:pPr>
        <w:pStyle w:val="5"/>
        <w:numPr>
          <w:numId w:val="0"/>
        </w:numPr>
        <w:spacing w:before="0" w:after="0" w:line="360" w:lineRule="auto"/>
        <w:ind w:left="-567" w:leftChars="0"/>
        <w:rPr>
          <w:rFonts w:hint="eastAsia" w:ascii="宋体" w:hAnsi="宋体" w:cs="宋体"/>
          <w:color w:val="auto"/>
          <w:szCs w:val="21"/>
          <w:highlight w:val="none"/>
        </w:rPr>
      </w:pPr>
      <w:bookmarkStart w:id="115" w:name="_Toc89711866"/>
      <w:bookmarkStart w:id="116" w:name="_Toc4076"/>
      <w:bookmarkStart w:id="117" w:name="_Toc514325868"/>
      <w:bookmarkStart w:id="118" w:name="_Toc88741202"/>
      <w:bookmarkStart w:id="119" w:name="_Toc21941"/>
      <w:r>
        <w:rPr>
          <w:rFonts w:hint="eastAsia" w:ascii="宋体" w:hAnsi="宋体" w:cs="宋体"/>
          <w:color w:val="auto"/>
          <w:szCs w:val="21"/>
          <w:highlight w:val="none"/>
        </w:rPr>
        <w:t>3. 评标程序</w:t>
      </w:r>
      <w:bookmarkEnd w:id="108"/>
      <w:bookmarkEnd w:id="109"/>
      <w:bookmarkEnd w:id="110"/>
      <w:bookmarkEnd w:id="111"/>
      <w:bookmarkEnd w:id="112"/>
      <w:bookmarkEnd w:id="113"/>
      <w:bookmarkEnd w:id="114"/>
      <w:bookmarkEnd w:id="115"/>
      <w:bookmarkEnd w:id="116"/>
      <w:bookmarkEnd w:id="117"/>
      <w:bookmarkEnd w:id="118"/>
      <w:bookmarkEnd w:id="119"/>
    </w:p>
    <w:p w14:paraId="68316EDF">
      <w:pPr>
        <w:pStyle w:val="6"/>
        <w:numPr>
          <w:numId w:val="0"/>
        </w:numPr>
        <w:spacing w:before="0" w:after="0" w:line="360" w:lineRule="auto"/>
        <w:ind w:left="103" w:leftChars="0"/>
        <w:rPr>
          <w:rFonts w:hint="eastAsia" w:ascii="宋体" w:cs="宋体"/>
          <w:color w:val="auto"/>
          <w:szCs w:val="21"/>
          <w:highlight w:val="none"/>
        </w:rPr>
      </w:pPr>
      <w:bookmarkStart w:id="120" w:name="_Toc152042382"/>
      <w:bookmarkStart w:id="121" w:name="_Toc514325869"/>
      <w:bookmarkStart w:id="122" w:name="_Toc247514029"/>
      <w:bookmarkStart w:id="123" w:name="_Toc89711867"/>
      <w:bookmarkStart w:id="124" w:name="_Toc88741203"/>
      <w:bookmarkStart w:id="125" w:name="_Toc144974572"/>
      <w:bookmarkStart w:id="126" w:name="_Toc12865"/>
      <w:bookmarkStart w:id="127" w:name="_Toc247527630"/>
      <w:bookmarkStart w:id="128" w:name="_Toc513812014"/>
      <w:bookmarkStart w:id="129" w:name="_Toc513706642"/>
      <w:bookmarkStart w:id="130" w:name="_Toc150"/>
      <w:bookmarkStart w:id="131" w:name="_Toc152045605"/>
      <w:r>
        <w:rPr>
          <w:rFonts w:hint="eastAsia" w:ascii="宋体" w:cs="宋体"/>
          <w:color w:val="auto"/>
          <w:szCs w:val="21"/>
          <w:highlight w:val="none"/>
        </w:rPr>
        <w:t>3.1 初步评审</w:t>
      </w:r>
      <w:bookmarkEnd w:id="120"/>
      <w:bookmarkEnd w:id="121"/>
      <w:bookmarkEnd w:id="122"/>
      <w:bookmarkEnd w:id="123"/>
      <w:bookmarkEnd w:id="124"/>
      <w:bookmarkEnd w:id="125"/>
      <w:bookmarkEnd w:id="126"/>
      <w:bookmarkEnd w:id="127"/>
      <w:bookmarkEnd w:id="128"/>
      <w:bookmarkEnd w:id="129"/>
      <w:bookmarkEnd w:id="130"/>
      <w:bookmarkEnd w:id="131"/>
    </w:p>
    <w:p w14:paraId="2CA6C0EB">
      <w:pPr>
        <w:ind w:firstLine="480" w:firstLineChars="200"/>
        <w:rPr>
          <w:rFonts w:hint="eastAsia" w:ascii="宋体" w:hAnsi="宋体" w:cs="宋体"/>
          <w:b/>
          <w:color w:val="auto"/>
          <w:szCs w:val="21"/>
          <w:highlight w:val="none"/>
        </w:rPr>
      </w:pPr>
      <w:r>
        <w:rPr>
          <w:rFonts w:hint="eastAsia" w:ascii="宋体" w:hAnsi="宋体" w:cs="宋体"/>
          <w:color w:val="auto"/>
          <w:szCs w:val="21"/>
          <w:highlight w:val="none"/>
        </w:rPr>
        <w:t>3.1.1评标委员会依据本章第2.1.1项、2.1.2项、2.1.3项规定的标准对投标文件进行初步评审。有一项不符合评审标准的，评标委员会应当否决其投标。</w:t>
      </w:r>
    </w:p>
    <w:p w14:paraId="7127378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3.1.2 投标人有以下情形之一的，评标委员会应当否决其投标：</w:t>
      </w:r>
    </w:p>
    <w:p w14:paraId="5A4E790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（1）投标文件没有对招标文件的实质性要求和条件作出响应，或者对招标文件的偏差超出招标文件规定的偏差范围或最高项数；</w:t>
      </w:r>
    </w:p>
    <w:p w14:paraId="4ACCCD49">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（2）串通投标或弄虚作假或有其他违法行为的；</w:t>
      </w:r>
    </w:p>
    <w:p w14:paraId="48FBBFA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（3）不按评标委员会要求澄清、说明或补正的。</w:t>
      </w:r>
    </w:p>
    <w:p w14:paraId="3573B5B7">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3.1.3 投标报价有算术错误的，评标委员会按以下原则对投标报价进行修正，修正的价格经投标人书面确认后具有约束力。投标人不接受修正价格的，评标委员会应当否决其投标。</w:t>
      </w:r>
    </w:p>
    <w:p w14:paraId="6E8978B6">
      <w:pPr>
        <w:ind w:firstLine="480" w:firstLineChars="200"/>
        <w:rPr>
          <w:rFonts w:hint="eastAsia" w:ascii="宋体" w:hAnsi="宋体" w:cs="宋体"/>
          <w:color w:val="auto"/>
          <w:szCs w:val="21"/>
          <w:highlight w:val="none"/>
        </w:rPr>
      </w:pPr>
      <w:bookmarkStart w:id="132" w:name="_Toc152042383"/>
      <w:r>
        <w:rPr>
          <w:rFonts w:hint="eastAsia" w:ascii="宋体" w:hAnsi="宋体" w:cs="宋体"/>
          <w:color w:val="auto"/>
          <w:szCs w:val="21"/>
          <w:highlight w:val="none"/>
        </w:rPr>
        <w:t>（1）投标文件中的大写金额与小写金额不一致的，以大写金额为准；</w:t>
      </w:r>
      <w:bookmarkEnd w:id="132"/>
    </w:p>
    <w:p w14:paraId="3560893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（2）总价金额与依据单价计算出的结果不一致的，以单价金额为准修正总价，但单价金额小数点有明显错误的除外。</w:t>
      </w:r>
    </w:p>
    <w:p w14:paraId="3051942B">
      <w:pPr>
        <w:pStyle w:val="6"/>
        <w:numPr>
          <w:numId w:val="0"/>
        </w:numPr>
        <w:spacing w:before="0" w:after="0" w:line="360" w:lineRule="auto"/>
        <w:ind w:left="103" w:leftChars="0"/>
        <w:rPr>
          <w:rFonts w:hint="eastAsia" w:ascii="宋体" w:cs="宋体"/>
          <w:color w:val="auto"/>
          <w:szCs w:val="21"/>
          <w:highlight w:val="none"/>
        </w:rPr>
      </w:pPr>
      <w:bookmarkStart w:id="133" w:name="_Toc152045606"/>
      <w:bookmarkStart w:id="134" w:name="_Toc144974573"/>
      <w:bookmarkStart w:id="135" w:name="_Toc513812015"/>
      <w:bookmarkStart w:id="136" w:name="_Toc513706643"/>
      <w:bookmarkStart w:id="137" w:name="_Toc88741204"/>
      <w:bookmarkStart w:id="138" w:name="_Toc247514030"/>
      <w:bookmarkStart w:id="139" w:name="_Toc514325870"/>
      <w:bookmarkStart w:id="140" w:name="_Toc89711868"/>
      <w:bookmarkStart w:id="141" w:name="_Toc152042384"/>
      <w:bookmarkStart w:id="142" w:name="_Toc247527631"/>
      <w:bookmarkStart w:id="143" w:name="_Toc31256"/>
      <w:bookmarkStart w:id="144" w:name="_Toc31158"/>
      <w:r>
        <w:rPr>
          <w:rFonts w:hint="eastAsia" w:ascii="宋体" w:cs="宋体"/>
          <w:color w:val="auto"/>
          <w:szCs w:val="21"/>
          <w:highlight w:val="none"/>
        </w:rPr>
        <w:t>3.2 详细评审</w:t>
      </w:r>
      <w:bookmarkEnd w:id="133"/>
      <w:bookmarkEnd w:id="134"/>
      <w:bookmarkEnd w:id="135"/>
      <w:bookmarkEnd w:id="136"/>
      <w:bookmarkEnd w:id="137"/>
      <w:bookmarkEnd w:id="138"/>
      <w:bookmarkEnd w:id="139"/>
      <w:bookmarkEnd w:id="140"/>
      <w:bookmarkEnd w:id="141"/>
      <w:bookmarkEnd w:id="142"/>
      <w:bookmarkEnd w:id="143"/>
      <w:bookmarkEnd w:id="144"/>
    </w:p>
    <w:p w14:paraId="3DA69D63">
      <w:pPr>
        <w:ind w:firstLine="480" w:firstLineChars="200"/>
        <w:rPr>
          <w:rFonts w:hint="eastAsia" w:ascii="宋体" w:hAnsi="宋体" w:cs="宋体"/>
          <w:color w:val="auto"/>
          <w:highlight w:val="none"/>
        </w:rPr>
      </w:pPr>
      <w:r>
        <w:rPr>
          <w:rFonts w:hint="eastAsia" w:ascii="宋体" w:hAnsi="宋体" w:cs="宋体"/>
          <w:color w:val="auto"/>
          <w:highlight w:val="none"/>
        </w:rPr>
        <w:t>3.2.1 评标委员会按本章第2.2款规定的量化因素和分值进行打分，并计算出综合评估得分。</w:t>
      </w:r>
    </w:p>
    <w:p w14:paraId="3043911B">
      <w:pPr>
        <w:ind w:firstLine="820" w:firstLineChars="342"/>
        <w:rPr>
          <w:rFonts w:hint="eastAsia" w:ascii="宋体" w:hAnsi="宋体" w:cs="宋体"/>
          <w:color w:val="auto"/>
          <w:highlight w:val="none"/>
        </w:rPr>
      </w:pPr>
      <w:r>
        <w:rPr>
          <w:rFonts w:hint="eastAsia" w:ascii="宋体" w:hAnsi="宋体" w:cs="宋体"/>
          <w:color w:val="auto"/>
          <w:highlight w:val="none"/>
        </w:rPr>
        <w:t>（1）按本章第2.2.4目规定的评审因素和分值对商务部分算出得分A；</w:t>
      </w:r>
    </w:p>
    <w:p w14:paraId="0A3E5F01">
      <w:pPr>
        <w:ind w:firstLine="820" w:firstLineChars="342"/>
        <w:rPr>
          <w:rFonts w:hint="eastAsia" w:ascii="宋体" w:hAnsi="宋体" w:cs="宋体"/>
          <w:color w:val="auto"/>
          <w:highlight w:val="none"/>
        </w:rPr>
      </w:pPr>
      <w:r>
        <w:rPr>
          <w:rFonts w:hint="eastAsia" w:ascii="宋体" w:hAnsi="宋体" w:cs="宋体"/>
          <w:color w:val="auto"/>
          <w:highlight w:val="none"/>
        </w:rPr>
        <w:t>（2）按本章第2.2.4目规定的评审因素和分值对技术方案计算出得分B；</w:t>
      </w:r>
    </w:p>
    <w:p w14:paraId="14AA06D9">
      <w:pPr>
        <w:ind w:firstLine="820" w:firstLineChars="342"/>
        <w:rPr>
          <w:rFonts w:hint="eastAsia" w:ascii="宋体" w:hAnsi="宋体" w:cs="宋体"/>
          <w:color w:val="auto"/>
          <w:highlight w:val="none"/>
        </w:rPr>
      </w:pPr>
      <w:r>
        <w:rPr>
          <w:rFonts w:hint="eastAsia" w:ascii="宋体" w:hAnsi="宋体" w:cs="宋体"/>
          <w:color w:val="auto"/>
          <w:highlight w:val="none"/>
        </w:rPr>
        <w:t>（3）按本章第2.2.4目规定的评审因素和分值对投标报价计算出得分C；</w:t>
      </w:r>
    </w:p>
    <w:p w14:paraId="7CB3C9B4">
      <w:pPr>
        <w:ind w:firstLine="480" w:firstLineChars="200"/>
        <w:rPr>
          <w:rFonts w:hint="eastAsia" w:ascii="宋体" w:hAnsi="宋体" w:cs="宋体"/>
          <w:color w:val="auto"/>
          <w:highlight w:val="none"/>
        </w:rPr>
      </w:pPr>
      <w:r>
        <w:rPr>
          <w:rFonts w:hint="eastAsia" w:ascii="宋体" w:hAnsi="宋体" w:cs="宋体"/>
          <w:color w:val="auto"/>
          <w:highlight w:val="none"/>
        </w:rPr>
        <w:t>3.2.2 评分分值计算保留小数点后两位，小数点后第三位“四舍五入”。</w:t>
      </w:r>
    </w:p>
    <w:p w14:paraId="5E1A1B93">
      <w:pPr>
        <w:ind w:firstLine="480" w:firstLineChars="200"/>
        <w:rPr>
          <w:rFonts w:hint="eastAsia" w:ascii="宋体" w:hAnsi="宋体" w:cs="宋体"/>
          <w:color w:val="auto"/>
          <w:highlight w:val="none"/>
        </w:rPr>
      </w:pPr>
      <w:r>
        <w:rPr>
          <w:rFonts w:hint="eastAsia" w:ascii="宋体" w:hAnsi="宋体" w:cs="宋体"/>
          <w:color w:val="auto"/>
          <w:highlight w:val="none"/>
        </w:rPr>
        <w:t>3.2.3 投标人得分=A+B+C。</w:t>
      </w:r>
    </w:p>
    <w:p w14:paraId="6F02A8FA">
      <w:pPr>
        <w:ind w:firstLine="480" w:firstLineChars="200"/>
        <w:rPr>
          <w:rFonts w:hint="eastAsia" w:ascii="宋体" w:hAnsi="宋体" w:cs="宋体"/>
          <w:color w:val="auto"/>
          <w:highlight w:val="none"/>
        </w:rPr>
      </w:pPr>
      <w:r>
        <w:rPr>
          <w:rFonts w:hint="eastAsia" w:ascii="宋体" w:hAnsi="宋体" w:cs="宋体"/>
          <w:color w:val="auto"/>
          <w:highlight w:val="none"/>
        </w:rPr>
        <w:t>3.2.4 评标委员会发现投标人的报价明显低于其他投标报价，或者在设有标底时明显低于标底，使得其投标报价可能低于其个别成本的，应当要求该投标人作出书面说明并提供相应的证明材料。投标人不能合理说明或者不能提供相应证明材料的，评标委员会应当认定该投标人以低于成本报价竞标，否决其投标。</w:t>
      </w:r>
    </w:p>
    <w:p w14:paraId="1D965654">
      <w:pPr>
        <w:pStyle w:val="6"/>
        <w:numPr>
          <w:numId w:val="0"/>
        </w:numPr>
        <w:spacing w:before="0" w:after="0" w:line="360" w:lineRule="auto"/>
        <w:ind w:left="103" w:leftChars="0"/>
        <w:rPr>
          <w:rFonts w:hint="eastAsia" w:ascii="宋体" w:cs="宋体"/>
          <w:color w:val="auto"/>
          <w:szCs w:val="21"/>
          <w:highlight w:val="none"/>
        </w:rPr>
      </w:pPr>
      <w:bookmarkStart w:id="145" w:name="_Toc144974575"/>
      <w:bookmarkStart w:id="146" w:name="_Toc9257"/>
      <w:bookmarkStart w:id="147" w:name="_Toc152045607"/>
      <w:bookmarkStart w:id="148" w:name="_Toc513812016"/>
      <w:bookmarkStart w:id="149" w:name="_Toc514325871"/>
      <w:bookmarkStart w:id="150" w:name="_Toc513706644"/>
      <w:bookmarkStart w:id="151" w:name="_Toc152042385"/>
      <w:bookmarkStart w:id="152" w:name="_Toc88741205"/>
      <w:bookmarkStart w:id="153" w:name="_Toc89711869"/>
      <w:bookmarkStart w:id="154" w:name="_Toc247514031"/>
      <w:bookmarkStart w:id="155" w:name="_Toc247527632"/>
      <w:bookmarkStart w:id="156" w:name="_Toc16784"/>
      <w:r>
        <w:rPr>
          <w:rFonts w:hint="eastAsia" w:ascii="宋体" w:cs="宋体"/>
          <w:color w:val="auto"/>
          <w:szCs w:val="21"/>
          <w:highlight w:val="none"/>
        </w:rPr>
        <w:t>3.3 投标文件的澄清</w:t>
      </w:r>
      <w:bookmarkEnd w:id="145"/>
      <w:r>
        <w:rPr>
          <w:rFonts w:hint="eastAsia" w:ascii="宋体" w:cs="宋体"/>
          <w:color w:val="auto"/>
          <w:szCs w:val="21"/>
          <w:highlight w:val="none"/>
        </w:rPr>
        <w:t>和补正</w:t>
      </w:r>
      <w:bookmarkEnd w:id="146"/>
      <w:bookmarkEnd w:id="147"/>
      <w:bookmarkEnd w:id="148"/>
      <w:bookmarkEnd w:id="149"/>
      <w:bookmarkEnd w:id="150"/>
      <w:bookmarkEnd w:id="151"/>
      <w:bookmarkEnd w:id="152"/>
      <w:bookmarkEnd w:id="153"/>
      <w:bookmarkEnd w:id="154"/>
      <w:bookmarkEnd w:id="155"/>
      <w:bookmarkEnd w:id="156"/>
    </w:p>
    <w:p w14:paraId="38387F6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3.3.1 在评标过程中，评标委员会可以书面形式要求投标人对所提交投标文件中不明确的内容进行书面澄清或说明，或者对细微偏差进行补正。评标委员会不接受投标人主动提出的澄清、说明或补正。</w:t>
      </w:r>
    </w:p>
    <w:p w14:paraId="77F1BBB6">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3.3.2 澄清、说明和补正不得改变投标文件的实质性内容。投标人的书面澄清、说明和补正属于投标文件的组成部分。</w:t>
      </w:r>
    </w:p>
    <w:p w14:paraId="0F535B12">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3.3.3 评标委员会对投标人提交的澄清、说明或补正有疑问的，可以要求投标人进一步澄清、说明或补正，直至满足评标委员会的要求。</w:t>
      </w:r>
    </w:p>
    <w:p w14:paraId="3CE9AD8E">
      <w:pPr>
        <w:pStyle w:val="6"/>
        <w:numPr>
          <w:numId w:val="0"/>
        </w:numPr>
        <w:spacing w:before="0" w:after="0" w:line="360" w:lineRule="auto"/>
        <w:ind w:left="103" w:leftChars="0"/>
        <w:rPr>
          <w:rFonts w:hint="eastAsia" w:ascii="宋体" w:cs="宋体"/>
          <w:color w:val="auto"/>
          <w:szCs w:val="21"/>
          <w:highlight w:val="none"/>
        </w:rPr>
      </w:pPr>
      <w:bookmarkStart w:id="157" w:name="_Toc513706645"/>
      <w:bookmarkStart w:id="158" w:name="_Toc152042386"/>
      <w:bookmarkStart w:id="159" w:name="_Toc89711870"/>
      <w:bookmarkStart w:id="160" w:name="_Toc247527633"/>
      <w:bookmarkStart w:id="161" w:name="_Toc247514032"/>
      <w:bookmarkStart w:id="162" w:name="_Toc152045608"/>
      <w:bookmarkStart w:id="163" w:name="_Toc15823"/>
      <w:bookmarkStart w:id="164" w:name="_Toc144974576"/>
      <w:bookmarkStart w:id="165" w:name="_Toc10205"/>
      <w:bookmarkStart w:id="166" w:name="_Toc513812017"/>
      <w:bookmarkStart w:id="167" w:name="_Toc88741206"/>
      <w:bookmarkStart w:id="168" w:name="_Toc514325872"/>
      <w:r>
        <w:rPr>
          <w:rFonts w:hint="eastAsia" w:ascii="宋体" w:cs="宋体"/>
          <w:color w:val="auto"/>
          <w:szCs w:val="21"/>
          <w:highlight w:val="none"/>
        </w:rPr>
        <w:t>3.4 评标结果</w:t>
      </w:r>
      <w:bookmarkEnd w:id="157"/>
      <w:bookmarkEnd w:id="158"/>
      <w:bookmarkEnd w:id="159"/>
      <w:bookmarkEnd w:id="160"/>
      <w:bookmarkEnd w:id="161"/>
      <w:bookmarkEnd w:id="162"/>
      <w:bookmarkEnd w:id="163"/>
      <w:bookmarkEnd w:id="164"/>
      <w:bookmarkEnd w:id="165"/>
      <w:bookmarkEnd w:id="166"/>
      <w:bookmarkEnd w:id="167"/>
      <w:bookmarkEnd w:id="168"/>
    </w:p>
    <w:p w14:paraId="6803352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3.4.1 除第二章“投标人须知”前附表授权直接确定中标人外，评标委员会按照得分由高到低的顺序推荐中标候选人。</w:t>
      </w:r>
    </w:p>
    <w:p w14:paraId="75723BB7">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3.4.2 评标委员会完成评标后，应当向招标人提交书面评标报告。</w:t>
      </w:r>
    </w:p>
    <w:p w14:paraId="6856BF54">
      <w:pPr>
        <w:pStyle w:val="103"/>
        <w:rPr>
          <w:rFonts w:hint="eastAsia" w:ascii="宋体" w:hAnsi="宋体" w:cs="宋体"/>
          <w:color w:val="auto"/>
          <w:szCs w:val="21"/>
          <w:highlight w:val="none"/>
        </w:rPr>
      </w:pPr>
    </w:p>
    <w:p w14:paraId="71C0D926">
      <w:pPr>
        <w:pStyle w:val="103"/>
        <w:rPr>
          <w:rFonts w:hint="eastAsia" w:ascii="宋体" w:hAnsi="宋体" w:cs="宋体"/>
          <w:color w:val="auto"/>
          <w:szCs w:val="21"/>
          <w:highlight w:val="none"/>
        </w:rPr>
      </w:pPr>
    </w:p>
    <w:p w14:paraId="02DDBDB1">
      <w:pPr>
        <w:pStyle w:val="103"/>
        <w:rPr>
          <w:rFonts w:hint="eastAsia" w:ascii="宋体" w:hAnsi="宋体" w:cs="宋体"/>
          <w:color w:val="auto"/>
          <w:szCs w:val="21"/>
          <w:highlight w:val="none"/>
        </w:rPr>
      </w:pPr>
    </w:p>
    <w:p w14:paraId="12A791A7">
      <w:pPr>
        <w:pStyle w:val="103"/>
        <w:rPr>
          <w:rFonts w:hint="eastAsia" w:ascii="宋体" w:hAnsi="宋体" w:cs="宋体"/>
          <w:color w:val="auto"/>
          <w:szCs w:val="21"/>
          <w:highlight w:val="none"/>
        </w:rPr>
      </w:pPr>
    </w:p>
    <w:p w14:paraId="241CCC4B">
      <w:pPr>
        <w:pStyle w:val="103"/>
        <w:rPr>
          <w:rFonts w:hint="eastAsia" w:ascii="宋体" w:hAnsi="宋体" w:cs="宋体"/>
          <w:color w:val="auto"/>
          <w:szCs w:val="21"/>
          <w:highlight w:val="none"/>
        </w:rPr>
      </w:pPr>
    </w:p>
    <w:p w14:paraId="69B4A364">
      <w:pPr>
        <w:pStyle w:val="103"/>
        <w:rPr>
          <w:rFonts w:hint="eastAsia" w:ascii="宋体" w:hAnsi="宋体" w:cs="宋体"/>
          <w:color w:val="auto"/>
          <w:szCs w:val="21"/>
          <w:highlight w:val="none"/>
        </w:rPr>
      </w:pPr>
    </w:p>
    <w:p w14:paraId="7133EEA4">
      <w:pPr>
        <w:pStyle w:val="103"/>
        <w:rPr>
          <w:rFonts w:hint="eastAsia" w:ascii="宋体" w:hAnsi="宋体" w:cs="宋体"/>
          <w:color w:val="auto"/>
          <w:szCs w:val="21"/>
          <w:highlight w:val="none"/>
        </w:rPr>
      </w:pPr>
    </w:p>
    <w:p w14:paraId="74266D16">
      <w:pPr>
        <w:pStyle w:val="103"/>
        <w:rPr>
          <w:rFonts w:hint="eastAsia" w:ascii="宋体" w:hAnsi="宋体" w:cs="宋体"/>
          <w:color w:val="auto"/>
          <w:szCs w:val="21"/>
          <w:highlight w:val="none"/>
        </w:rPr>
      </w:pPr>
    </w:p>
    <w:p w14:paraId="4B10EFEC">
      <w:pPr>
        <w:pStyle w:val="103"/>
        <w:rPr>
          <w:rFonts w:hint="eastAsia" w:ascii="宋体" w:hAnsi="宋体" w:cs="宋体"/>
          <w:color w:val="auto"/>
          <w:szCs w:val="21"/>
          <w:highlight w:val="none"/>
        </w:rPr>
      </w:pPr>
    </w:p>
    <w:p w14:paraId="381E52E1">
      <w:pPr>
        <w:pStyle w:val="103"/>
        <w:rPr>
          <w:rFonts w:hint="eastAsia" w:ascii="宋体" w:hAnsi="宋体" w:cs="宋体"/>
          <w:color w:val="auto"/>
          <w:szCs w:val="21"/>
          <w:highlight w:val="none"/>
        </w:rPr>
      </w:pPr>
    </w:p>
    <w:p w14:paraId="4D25B1B2">
      <w:pPr>
        <w:pStyle w:val="4"/>
        <w:numPr>
          <w:ilvl w:val="0"/>
          <w:numId w:val="9"/>
        </w:numPr>
        <w:spacing w:before="0" w:after="0" w:line="360" w:lineRule="auto"/>
        <w:ind w:left="-425" w:leftChars="0"/>
        <w:jc w:val="center"/>
        <w:rPr>
          <w:rFonts w:hint="eastAsia" w:ascii="宋体" w:hAnsi="宋体" w:eastAsia="宋体" w:cs="宋体"/>
          <w:color w:val="auto"/>
          <w:highlight w:val="none"/>
        </w:rPr>
      </w:pPr>
      <w:bookmarkStart w:id="169" w:name="_Toc152045609"/>
      <w:bookmarkStart w:id="170" w:name="_Toc29895"/>
      <w:bookmarkStart w:id="171" w:name="_Toc144974577"/>
      <w:bookmarkStart w:id="172" w:name="_Toc247514033"/>
      <w:bookmarkStart w:id="173" w:name="_Toc152042387"/>
      <w:bookmarkStart w:id="174" w:name="_Toc5004"/>
      <w:bookmarkStart w:id="175" w:name="_Toc89711871"/>
      <w:bookmarkStart w:id="176" w:name="_Toc11112"/>
      <w:bookmarkStart w:id="177" w:name="_Toc247527634"/>
      <w:r>
        <w:rPr>
          <w:rFonts w:hint="eastAsia" w:ascii="宋体" w:hAnsi="宋体" w:eastAsia="宋体" w:cs="宋体"/>
          <w:color w:val="auto"/>
          <w:highlight w:val="none"/>
        </w:rPr>
        <w:t>合同条款及格式</w:t>
      </w:r>
      <w:bookmarkEnd w:id="169"/>
      <w:bookmarkEnd w:id="170"/>
      <w:bookmarkEnd w:id="171"/>
      <w:bookmarkEnd w:id="172"/>
      <w:bookmarkEnd w:id="173"/>
      <w:bookmarkEnd w:id="174"/>
      <w:bookmarkEnd w:id="175"/>
      <w:bookmarkEnd w:id="176"/>
      <w:bookmarkEnd w:id="177"/>
      <w:bookmarkStart w:id="178" w:name="_Toc247527635"/>
      <w:bookmarkStart w:id="179" w:name="_Toc184635097"/>
      <w:bookmarkStart w:id="180" w:name="_Toc247514034"/>
    </w:p>
    <w:p w14:paraId="1B820BEB">
      <w:pPr>
        <w:numPr>
          <w:numId w:val="0"/>
        </w:numPr>
        <w:spacing w:line="360" w:lineRule="auto"/>
        <w:rPr>
          <w:rFonts w:hint="eastAsia"/>
        </w:rPr>
      </w:pPr>
    </w:p>
    <w:p w14:paraId="590E4488">
      <w:pPr>
        <w:pStyle w:val="2"/>
        <w:rPr>
          <w:rFonts w:hint="eastAsia"/>
        </w:rPr>
      </w:pPr>
    </w:p>
    <w:p w14:paraId="4C5BF2E2">
      <w:pPr>
        <w:rPr>
          <w:rFonts w:hint="eastAsia"/>
        </w:rPr>
      </w:pPr>
    </w:p>
    <w:p w14:paraId="4F59488E">
      <w:pPr>
        <w:pStyle w:val="2"/>
        <w:rPr>
          <w:rFonts w:hint="eastAsia"/>
        </w:rPr>
      </w:pPr>
    </w:p>
    <w:p w14:paraId="15560249">
      <w:pPr>
        <w:rPr>
          <w:rFonts w:hint="eastAsia"/>
        </w:rPr>
      </w:pPr>
    </w:p>
    <w:p w14:paraId="76A1BC49">
      <w:pPr>
        <w:pStyle w:val="2"/>
        <w:rPr>
          <w:rFonts w:hint="eastAsia"/>
        </w:rPr>
      </w:pPr>
    </w:p>
    <w:p w14:paraId="39A92C55">
      <w:pPr>
        <w:rPr>
          <w:rFonts w:hint="eastAsia"/>
        </w:rPr>
      </w:pPr>
    </w:p>
    <w:p w14:paraId="001A6D8E">
      <w:pPr>
        <w:pStyle w:val="2"/>
        <w:rPr>
          <w:rFonts w:hint="eastAsia"/>
        </w:rPr>
      </w:pPr>
    </w:p>
    <w:p w14:paraId="120B0FA0">
      <w:pPr>
        <w:rPr>
          <w:rFonts w:hint="eastAsia"/>
        </w:rPr>
      </w:pPr>
    </w:p>
    <w:p w14:paraId="45EDEB56">
      <w:pPr>
        <w:pStyle w:val="2"/>
        <w:rPr>
          <w:rFonts w:hint="eastAsia"/>
        </w:rPr>
      </w:pPr>
    </w:p>
    <w:p w14:paraId="333FAA0C">
      <w:pPr>
        <w:rPr>
          <w:rFonts w:hint="eastAsia"/>
        </w:rPr>
      </w:pPr>
    </w:p>
    <w:p w14:paraId="6C70AB7C">
      <w:pPr>
        <w:pStyle w:val="2"/>
        <w:rPr>
          <w:rFonts w:hint="eastAsia"/>
        </w:rPr>
      </w:pPr>
    </w:p>
    <w:p w14:paraId="4BF5A842">
      <w:pPr>
        <w:rPr>
          <w:rFonts w:hint="eastAsia"/>
        </w:rPr>
      </w:pPr>
    </w:p>
    <w:p w14:paraId="555E0514">
      <w:pPr>
        <w:pStyle w:val="2"/>
        <w:rPr>
          <w:rFonts w:hint="eastAsia"/>
        </w:rPr>
      </w:pPr>
    </w:p>
    <w:p w14:paraId="141FF273">
      <w:pPr>
        <w:rPr>
          <w:rFonts w:hint="eastAsia"/>
        </w:rPr>
      </w:pPr>
    </w:p>
    <w:p w14:paraId="16FAFBE4">
      <w:pPr>
        <w:pStyle w:val="2"/>
        <w:rPr>
          <w:rFonts w:hint="eastAsia"/>
        </w:rPr>
      </w:pPr>
    </w:p>
    <w:p w14:paraId="2C893BAF">
      <w:pPr>
        <w:rPr>
          <w:rFonts w:hint="eastAsia"/>
        </w:rPr>
      </w:pPr>
    </w:p>
    <w:p w14:paraId="1638FE05">
      <w:pPr>
        <w:pStyle w:val="2"/>
        <w:rPr>
          <w:rFonts w:hint="eastAsia"/>
        </w:rPr>
      </w:pPr>
    </w:p>
    <w:p w14:paraId="2168861D">
      <w:pPr>
        <w:rPr>
          <w:rFonts w:hint="eastAsia"/>
        </w:rPr>
      </w:pPr>
    </w:p>
    <w:p w14:paraId="43FD94DB">
      <w:pPr>
        <w:pStyle w:val="2"/>
        <w:rPr>
          <w:rFonts w:hint="eastAsia"/>
        </w:rPr>
      </w:pPr>
    </w:p>
    <w:p w14:paraId="6D8A5244">
      <w:pPr>
        <w:rPr>
          <w:rFonts w:hint="eastAsia"/>
        </w:rPr>
      </w:pPr>
    </w:p>
    <w:p w14:paraId="409A71B2">
      <w:pPr>
        <w:pStyle w:val="2"/>
        <w:rPr>
          <w:rFonts w:hint="eastAsia"/>
        </w:rPr>
      </w:pPr>
    </w:p>
    <w:p w14:paraId="4B2C5894">
      <w:pPr>
        <w:rPr>
          <w:rFonts w:hint="eastAsia"/>
        </w:rPr>
      </w:pPr>
    </w:p>
    <w:p w14:paraId="58ADD205">
      <w:pPr>
        <w:pStyle w:val="2"/>
        <w:rPr>
          <w:rFonts w:hint="eastAsia"/>
        </w:rPr>
      </w:pPr>
    </w:p>
    <w:p w14:paraId="26E5D231">
      <w:pPr>
        <w:rPr>
          <w:rFonts w:hint="eastAsia"/>
        </w:rPr>
      </w:pPr>
    </w:p>
    <w:p w14:paraId="1C41C876">
      <w:pPr>
        <w:pStyle w:val="2"/>
        <w:rPr>
          <w:rFonts w:hint="eastAsia"/>
        </w:rPr>
      </w:pPr>
    </w:p>
    <w:p w14:paraId="170C0EDF">
      <w:pPr>
        <w:rPr>
          <w:rFonts w:hint="eastAsia"/>
        </w:rPr>
      </w:pPr>
    </w:p>
    <w:p w14:paraId="35058DF9">
      <w:pPr>
        <w:pStyle w:val="2"/>
        <w:rPr>
          <w:rFonts w:hint="eastAsia"/>
        </w:rPr>
      </w:pPr>
    </w:p>
    <w:p w14:paraId="7DECD75B">
      <w:pPr>
        <w:rPr>
          <w:rFonts w:hint="eastAsia"/>
        </w:rPr>
      </w:pPr>
    </w:p>
    <w:p w14:paraId="699E7CA6">
      <w:pPr>
        <w:pStyle w:val="2"/>
        <w:rPr>
          <w:rFonts w:hint="eastAsia"/>
        </w:rPr>
      </w:pPr>
    </w:p>
    <w:p w14:paraId="1D104113">
      <w:pPr>
        <w:pStyle w:val="4"/>
        <w:numPr>
          <w:numId w:val="0"/>
        </w:numPr>
        <w:bidi w:val="0"/>
        <w:ind w:left="-425" w:leftChars="0"/>
        <w:jc w:val="center"/>
        <w:rPr>
          <w:rStyle w:val="46"/>
          <w:rFonts w:hint="eastAsia" w:ascii="宋体" w:hAnsi="宋体" w:eastAsia="宋体" w:cs="宋体"/>
          <w:color w:val="auto"/>
          <w:highlight w:val="none"/>
        </w:rPr>
      </w:pPr>
      <w:bookmarkStart w:id="181" w:name="_Toc89712444"/>
      <w:bookmarkStart w:id="182" w:name="_Toc20754"/>
      <w:bookmarkStart w:id="183" w:name="_Toc22626"/>
      <w:bookmarkStart w:id="184" w:name="_Toc26581"/>
      <w:r>
        <w:rPr>
          <w:rStyle w:val="46"/>
          <w:rFonts w:hint="eastAsia" w:ascii="宋体" w:hAnsi="宋体" w:eastAsia="宋体" w:cs="宋体"/>
          <w:color w:val="auto"/>
          <w:highlight w:val="none"/>
        </w:rPr>
        <w:t>第五章  发包人要求</w:t>
      </w:r>
      <w:bookmarkEnd w:id="181"/>
      <w:bookmarkEnd w:id="182"/>
      <w:bookmarkEnd w:id="183"/>
    </w:p>
    <w:bookmarkEnd w:id="184"/>
    <w:p w14:paraId="10FD5EDB">
      <w:pPr>
        <w:bidi w:val="0"/>
        <w:jc w:val="center"/>
        <w:rPr>
          <w:rFonts w:hint="eastAsia"/>
          <w:b/>
          <w:bCs/>
          <w:sz w:val="30"/>
          <w:szCs w:val="30"/>
        </w:rPr>
      </w:pPr>
      <w:bookmarkStart w:id="185" w:name="_Toc513812318"/>
      <w:bookmarkStart w:id="186" w:name="_Toc18346"/>
      <w:bookmarkStart w:id="187" w:name="_Toc86"/>
      <w:bookmarkStart w:id="188" w:name="_Toc20265"/>
      <w:bookmarkStart w:id="189" w:name="_Toc89712445"/>
      <w:bookmarkStart w:id="190" w:name="_Toc88741784"/>
      <w:bookmarkStart w:id="191" w:name="_Toc1128"/>
      <w:r>
        <w:rPr>
          <w:rFonts w:hint="eastAsia"/>
          <w:b/>
          <w:bCs/>
          <w:sz w:val="30"/>
          <w:szCs w:val="30"/>
        </w:rPr>
        <w:t>（发包人其他要求详见技术册）</w:t>
      </w:r>
      <w:bookmarkEnd w:id="185"/>
      <w:bookmarkEnd w:id="186"/>
      <w:bookmarkEnd w:id="187"/>
      <w:bookmarkEnd w:id="188"/>
      <w:bookmarkEnd w:id="189"/>
      <w:bookmarkEnd w:id="190"/>
      <w:bookmarkEnd w:id="191"/>
    </w:p>
    <w:p w14:paraId="511FA784">
      <w:pPr>
        <w:bidi w:val="0"/>
        <w:jc w:val="center"/>
        <w:rPr>
          <w:rFonts w:hint="eastAsia"/>
          <w:b/>
          <w:bCs/>
          <w:sz w:val="30"/>
          <w:szCs w:val="30"/>
        </w:rPr>
      </w:pPr>
      <w:bookmarkStart w:id="192" w:name="_Toc88741785"/>
      <w:bookmarkStart w:id="193" w:name="_Toc89712446"/>
      <w:bookmarkStart w:id="194" w:name="_Toc12780"/>
      <w:bookmarkStart w:id="195" w:name="_Toc32681"/>
      <w:bookmarkStart w:id="196" w:name="_Toc9538"/>
      <w:bookmarkStart w:id="197" w:name="_Toc5118"/>
      <w:r>
        <w:rPr>
          <w:rFonts w:hint="eastAsia"/>
          <w:b/>
          <w:bCs/>
          <w:sz w:val="30"/>
          <w:szCs w:val="30"/>
        </w:rPr>
        <w:t>报价要求</w:t>
      </w:r>
      <w:bookmarkEnd w:id="192"/>
      <w:bookmarkEnd w:id="193"/>
      <w:bookmarkEnd w:id="194"/>
      <w:bookmarkEnd w:id="195"/>
      <w:bookmarkEnd w:id="196"/>
      <w:bookmarkEnd w:id="197"/>
    </w:p>
    <w:p w14:paraId="1085340E">
      <w:pPr>
        <w:rPr>
          <w:rFonts w:hint="eastAsia" w:ascii="宋体" w:hAnsi="宋体" w:cs="宋体"/>
          <w:color w:val="auto"/>
          <w:szCs w:val="21"/>
          <w:highlight w:val="none"/>
        </w:rPr>
      </w:pPr>
    </w:p>
    <w:p w14:paraId="7169D30D">
      <w:pPr>
        <w:autoSpaceDE w:val="0"/>
        <w:autoSpaceDN w:val="0"/>
        <w:adjustRightInd w:val="0"/>
        <w:ind w:firstLine="480" w:firstLineChars="200"/>
        <w:rPr>
          <w:rFonts w:ascii="Arial" w:hAnsi="Arial" w:cs="Arial"/>
          <w:color w:val="auto"/>
          <w:szCs w:val="21"/>
          <w:highlight w:val="none"/>
          <w:lang w:val="zh-CN"/>
        </w:rPr>
      </w:pPr>
      <w:r>
        <w:rPr>
          <w:rFonts w:hint="eastAsia" w:ascii="宋体" w:hAnsi="宋体" w:cs="宋体"/>
          <w:color w:val="auto"/>
          <w:szCs w:val="21"/>
          <w:highlight w:val="none"/>
          <w:lang w:val="zh-CN"/>
        </w:rPr>
        <w:t>一、</w:t>
      </w:r>
      <w:r>
        <w:rPr>
          <w:rFonts w:ascii="Arial" w:hAnsi="Arial" w:cs="Arial"/>
          <w:color w:val="auto"/>
          <w:szCs w:val="21"/>
          <w:highlight w:val="none"/>
          <w:lang w:val="zh-CN"/>
        </w:rPr>
        <w:t>投标人应认真填写价格表中各分项价格及汇总价。招标人为满足工程质量保留更换</w:t>
      </w:r>
      <w:r>
        <w:rPr>
          <w:rFonts w:ascii="Arial" w:hAnsi="Arial" w:cs="Arial"/>
          <w:color w:val="auto"/>
          <w:szCs w:val="21"/>
          <w:highlight w:val="cyan"/>
          <w:lang w:val="zh-CN"/>
        </w:rPr>
        <w:t>关键设</w:t>
      </w:r>
      <w:r>
        <w:rPr>
          <w:rFonts w:ascii="Arial" w:hAnsi="Arial" w:cs="Arial"/>
          <w:color w:val="auto"/>
          <w:szCs w:val="21"/>
          <w:highlight w:val="none"/>
          <w:lang w:val="zh-CN"/>
        </w:rPr>
        <w:t>备（</w:t>
      </w:r>
      <w:r>
        <w:rPr>
          <w:rFonts w:hint="default" w:ascii="Arial" w:hAnsi="Arial" w:cs="Arial"/>
          <w:color w:val="auto"/>
          <w:szCs w:val="21"/>
          <w:highlight w:val="none"/>
          <w:lang w:val="en-US"/>
        </w:rPr>
        <w:t>[</w:t>
      </w:r>
      <w:r>
        <w:rPr>
          <w:rFonts w:hint="eastAsia" w:ascii="Arial" w:hAnsi="Arial" w:cs="Arial"/>
          <w:color w:val="auto"/>
          <w:szCs w:val="21"/>
          <w:highlight w:val="none"/>
          <w:lang w:val="en-US" w:eastAsia="zh-CN"/>
        </w:rPr>
        <w:t>关键设备</w:t>
      </w:r>
      <w:r>
        <w:rPr>
          <w:rFonts w:hint="default" w:ascii="Arial" w:hAnsi="Arial" w:cs="Arial"/>
          <w:color w:val="auto"/>
          <w:szCs w:val="21"/>
          <w:highlight w:val="none"/>
          <w:lang w:val="en-US"/>
        </w:rPr>
        <w:t>]</w:t>
      </w:r>
      <w:r>
        <w:rPr>
          <w:rFonts w:ascii="Arial" w:hAnsi="Arial" w:cs="Arial"/>
          <w:color w:val="auto"/>
          <w:szCs w:val="21"/>
          <w:highlight w:val="none"/>
          <w:lang w:val="zh-CN"/>
        </w:rPr>
        <w:t>）的权利。</w:t>
      </w:r>
    </w:p>
    <w:p w14:paraId="3D23370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color w:val="auto"/>
          <w:szCs w:val="21"/>
          <w:highlight w:val="none"/>
          <w:lang w:val="en-US" w:eastAsia="zh-CN"/>
        </w:rPr>
      </w:pPr>
      <w:r>
        <w:rPr>
          <w:rFonts w:hint="eastAsia" w:ascii="宋体" w:hAnsi="宋体" w:cs="宋体"/>
          <w:color w:val="auto"/>
          <w:szCs w:val="21"/>
          <w:highlight w:val="none"/>
          <w:lang w:val="zh-CN"/>
        </w:rPr>
        <w:t>二、</w:t>
      </w:r>
      <w:r>
        <w:rPr>
          <w:rFonts w:hint="eastAsia" w:ascii="宋体" w:hAnsi="宋体" w:cs="宋体"/>
          <w:color w:val="auto"/>
          <w:szCs w:val="21"/>
          <w:highlight w:val="none"/>
          <w:lang w:val="en-US" w:eastAsia="zh-CN"/>
        </w:rPr>
        <w:t>本项目投标报价要求详见本项目招标文件第二章投标人须知投标人须知前附表3.2.5投标报价的其他要求</w:t>
      </w:r>
      <w:bookmarkStart w:id="198" w:name="_Toc27872"/>
      <w:bookmarkStart w:id="199" w:name="_Toc15296"/>
      <w:r>
        <w:rPr>
          <w:rFonts w:hint="eastAsia" w:ascii="宋体" w:hAnsi="宋体" w:cs="宋体"/>
          <w:color w:val="auto"/>
          <w:szCs w:val="21"/>
          <w:highlight w:val="none"/>
          <w:lang w:val="en-US" w:eastAsia="zh-CN"/>
        </w:rPr>
        <w:t>，</w:t>
      </w:r>
      <w:r>
        <w:rPr>
          <w:rFonts w:hint="eastAsia" w:ascii="宋体" w:hAnsi="宋体" w:cs="宋体"/>
          <w:color w:val="auto"/>
          <w:szCs w:val="21"/>
          <w:highlight w:val="none"/>
          <w:lang w:val="zh-CN"/>
        </w:rPr>
        <w:t>投标文件报价中的</w:t>
      </w:r>
      <w:r>
        <w:rPr>
          <w:rFonts w:hint="eastAsia" w:ascii="宋体" w:hAnsi="宋体" w:cs="宋体"/>
          <w:color w:val="auto"/>
          <w:szCs w:val="21"/>
          <w:highlight w:val="none"/>
          <w:lang w:val="en-US" w:eastAsia="zh-CN"/>
        </w:rPr>
        <w:t>各项报价均</w:t>
      </w:r>
      <w:r>
        <w:rPr>
          <w:rFonts w:hint="eastAsia" w:ascii="宋体" w:hAnsi="宋体" w:cs="宋体"/>
          <w:color w:val="auto"/>
          <w:szCs w:val="21"/>
          <w:highlight w:val="none"/>
          <w:lang w:val="zh-CN"/>
        </w:rPr>
        <w:t>采用人民币</w:t>
      </w:r>
      <w:r>
        <w:rPr>
          <w:rFonts w:hint="eastAsia" w:ascii="宋体" w:hAnsi="宋体" w:cs="宋体"/>
          <w:color w:val="auto"/>
          <w:szCs w:val="21"/>
          <w:highlight w:val="none"/>
          <w:lang w:val="en-US" w:eastAsia="zh-CN"/>
        </w:rPr>
        <w:t>报价</w:t>
      </w:r>
      <w:bookmarkEnd w:id="198"/>
      <w:bookmarkEnd w:id="199"/>
      <w:r>
        <w:rPr>
          <w:rFonts w:hint="eastAsia" w:ascii="宋体" w:hAnsi="宋体" w:cs="宋体"/>
          <w:color w:val="auto"/>
          <w:szCs w:val="21"/>
          <w:highlight w:val="none"/>
          <w:lang w:val="zh-CN"/>
        </w:rPr>
        <w:t>，</w:t>
      </w:r>
      <w:r>
        <w:rPr>
          <w:rFonts w:hint="eastAsia" w:ascii="宋体" w:hAnsi="宋体" w:cs="宋体"/>
          <w:color w:val="auto"/>
          <w:szCs w:val="21"/>
          <w:highlight w:val="none"/>
          <w:lang w:val="en-US" w:eastAsia="zh-CN"/>
        </w:rPr>
        <w:t>本项目总价包干合同，具体详见招标文件“</w:t>
      </w:r>
      <w:r>
        <w:rPr>
          <w:rFonts w:hint="eastAsia" w:ascii="宋体" w:hAnsi="宋体" w:eastAsia="宋体" w:cs="宋体"/>
          <w:color w:val="auto"/>
          <w:highlight w:val="none"/>
        </w:rPr>
        <w:t>第四章  合同条款及格式</w:t>
      </w:r>
      <w:r>
        <w:rPr>
          <w:rFonts w:hint="eastAsia" w:ascii="宋体" w:hAnsi="宋体" w:cs="宋体"/>
          <w:color w:val="auto"/>
          <w:szCs w:val="21"/>
          <w:highlight w:val="none"/>
          <w:lang w:val="en-US" w:eastAsia="zh-CN"/>
        </w:rPr>
        <w:t>”。</w:t>
      </w:r>
    </w:p>
    <w:p w14:paraId="367F0F0E">
      <w:pPr>
        <w:tabs>
          <w:tab w:val="left" w:pos="425"/>
        </w:tabs>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lang w:val="zh-CN"/>
        </w:rPr>
        <w:t>三、本工程的投标总报价应包括但不仅限于以下内容：</w:t>
      </w:r>
    </w:p>
    <w:p w14:paraId="0FFCEACB">
      <w:pPr>
        <w:ind w:firstLine="480" w:firstLineChars="200"/>
        <w:rPr>
          <w:rFonts w:hint="eastAsia" w:ascii="宋体" w:hAnsi="宋体" w:cs="宋体"/>
          <w:color w:val="auto"/>
          <w:szCs w:val="21"/>
          <w:highlight w:val="cyan"/>
        </w:rPr>
      </w:pPr>
      <w:r>
        <w:rPr>
          <w:rFonts w:hint="eastAsia" w:ascii="宋体" w:hAnsi="宋体" w:cs="宋体"/>
          <w:color w:val="auto"/>
          <w:szCs w:val="21"/>
          <w:highlight w:val="none"/>
        </w:rPr>
        <w:t>1）</w:t>
      </w:r>
      <w:r>
        <w:rPr>
          <w:rFonts w:hint="eastAsia" w:ascii="宋体" w:hAnsi="宋体" w:cs="宋体"/>
          <w:color w:val="auto"/>
          <w:szCs w:val="21"/>
          <w:highlight w:val="cyan"/>
        </w:rPr>
        <w:t>设计费用</w:t>
      </w:r>
    </w:p>
    <w:p w14:paraId="4E1FF86D">
      <w:pPr>
        <w:pStyle w:val="2"/>
        <w:rPr>
          <w:rFonts w:hint="eastAsia" w:eastAsia="宋体"/>
          <w:color w:val="C00000"/>
          <w:highlight w:val="none"/>
          <w:lang w:val="en-US" w:eastAsia="zh-CN"/>
        </w:rPr>
      </w:pPr>
      <w:r>
        <w:rPr>
          <w:rFonts w:hint="eastAsia" w:ascii="宋体" w:hAnsi="宋体" w:eastAsia="宋体" w:cs="宋体"/>
          <w:color w:val="C00000"/>
          <w:szCs w:val="21"/>
          <w:highlight w:val="none"/>
          <w:lang w:val="en-US" w:eastAsia="zh-CN"/>
        </w:rPr>
        <w:t>generate</w:t>
      </w:r>
    </w:p>
    <w:p w14:paraId="553A2417">
      <w:pPr>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rPr>
        <w:t>2）</w:t>
      </w:r>
      <w:r>
        <w:rPr>
          <w:rFonts w:hint="eastAsia" w:ascii="宋体" w:hAnsi="宋体" w:cs="宋体"/>
          <w:color w:val="auto"/>
          <w:szCs w:val="21"/>
          <w:highlight w:val="cyan"/>
          <w:lang w:val="zh-CN"/>
        </w:rPr>
        <w:t>采购费用</w:t>
      </w:r>
    </w:p>
    <w:p w14:paraId="4B826534">
      <w:pPr>
        <w:pStyle w:val="2"/>
        <w:rPr>
          <w:rFonts w:hint="eastAsia" w:eastAsia="宋体"/>
          <w:color w:val="C00000"/>
          <w:highlight w:val="none"/>
          <w:lang w:val="en-US" w:eastAsia="zh-CN"/>
        </w:rPr>
      </w:pPr>
      <w:r>
        <w:rPr>
          <w:rFonts w:hint="eastAsia" w:ascii="宋体" w:hAnsi="宋体" w:eastAsia="宋体" w:cs="宋体"/>
          <w:color w:val="C00000"/>
          <w:szCs w:val="21"/>
          <w:highlight w:val="none"/>
          <w:lang w:val="en-US" w:eastAsia="zh-CN"/>
        </w:rPr>
        <w:t>generate</w:t>
      </w:r>
    </w:p>
    <w:p w14:paraId="21A8DC6F">
      <w:pPr>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rPr>
        <w:t>3）</w:t>
      </w:r>
      <w:r>
        <w:rPr>
          <w:rFonts w:hint="eastAsia" w:ascii="宋体" w:hAnsi="宋体" w:cs="宋体"/>
          <w:color w:val="auto"/>
          <w:szCs w:val="21"/>
          <w:highlight w:val="cyan"/>
          <w:lang w:val="zh-CN"/>
        </w:rPr>
        <w:t>施工费用</w:t>
      </w:r>
    </w:p>
    <w:p w14:paraId="47DEF3CE">
      <w:pPr>
        <w:pStyle w:val="2"/>
        <w:rPr>
          <w:rFonts w:ascii="Arial" w:hAnsi="Arial" w:cs="Arial"/>
          <w:color w:val="auto"/>
          <w:szCs w:val="21"/>
          <w:highlight w:val="none"/>
          <w:lang w:val="zh-CN"/>
        </w:rPr>
      </w:pPr>
      <w:r>
        <w:rPr>
          <w:rFonts w:hint="eastAsia" w:ascii="宋体" w:hAnsi="宋体" w:eastAsia="宋体" w:cs="宋体"/>
          <w:color w:val="C00000"/>
          <w:szCs w:val="21"/>
          <w:highlight w:val="none"/>
          <w:lang w:val="en-US" w:eastAsia="zh-CN"/>
        </w:rPr>
        <w:t>generate</w:t>
      </w:r>
    </w:p>
    <w:p w14:paraId="1423F4C2">
      <w:pPr>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rPr>
        <w:t>4）</w:t>
      </w:r>
      <w:r>
        <w:rPr>
          <w:rFonts w:hint="eastAsia" w:ascii="宋体" w:hAnsi="宋体" w:cs="宋体"/>
          <w:color w:val="auto"/>
          <w:szCs w:val="21"/>
          <w:highlight w:val="cyan"/>
          <w:lang w:val="zh-CN"/>
        </w:rPr>
        <w:t>其他费用</w:t>
      </w:r>
    </w:p>
    <w:p w14:paraId="12186C75">
      <w:pPr>
        <w:pStyle w:val="2"/>
        <w:rPr>
          <w:rFonts w:ascii="Arial" w:hAnsi="Arial" w:cs="Arial"/>
          <w:color w:val="auto"/>
          <w:szCs w:val="21"/>
          <w:highlight w:val="none"/>
          <w:lang w:val="zh-CN"/>
        </w:rPr>
      </w:pPr>
      <w:r>
        <w:rPr>
          <w:rFonts w:hint="eastAsia" w:ascii="宋体" w:hAnsi="宋体" w:eastAsia="宋体" w:cs="宋体"/>
          <w:color w:val="C00000"/>
          <w:szCs w:val="21"/>
          <w:highlight w:val="none"/>
          <w:lang w:val="en-US" w:eastAsia="zh-CN"/>
        </w:rPr>
        <w:t>generate</w:t>
      </w:r>
    </w:p>
    <w:p w14:paraId="05FC752D">
      <w:pPr>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lang w:val="zh-CN"/>
        </w:rPr>
        <w:t>其他：包括配合达标投产的费用、不可预见的施工措施费、预防自然灾害所采取的措施费、现场设备的二次倒运费、工程建设保险费（</w:t>
      </w:r>
      <w:r>
        <w:rPr>
          <w:rFonts w:hint="eastAsia" w:ascii="宋体" w:hAnsi="宋体" w:cs="宋体"/>
          <w:color w:val="auto"/>
          <w:szCs w:val="21"/>
          <w:highlight w:val="none"/>
        </w:rPr>
        <w:t>含</w:t>
      </w:r>
      <w:r>
        <w:rPr>
          <w:rFonts w:hint="eastAsia" w:ascii="宋体" w:hAnsi="宋体" w:cs="宋体"/>
          <w:color w:val="auto"/>
          <w:szCs w:val="21"/>
          <w:highlight w:val="none"/>
          <w:lang w:val="en-US" w:eastAsia="zh-CN"/>
        </w:rPr>
        <w:t>甲乙供</w:t>
      </w:r>
      <w:r>
        <w:rPr>
          <w:rFonts w:hint="eastAsia" w:ascii="宋体" w:hAnsi="宋体" w:cs="宋体"/>
          <w:color w:val="auto"/>
          <w:szCs w:val="21"/>
          <w:highlight w:val="none"/>
        </w:rPr>
        <w:t>设备及材料</w:t>
      </w:r>
      <w:r>
        <w:rPr>
          <w:rFonts w:hint="eastAsia" w:ascii="宋体" w:hAnsi="宋体" w:cs="宋体"/>
          <w:color w:val="auto"/>
          <w:szCs w:val="21"/>
          <w:highlight w:val="none"/>
          <w:lang w:val="zh-CN"/>
        </w:rPr>
        <w:t>）、合同实施过程中不可预见的风险费以及投标人认为应计取的其他各项费用（含利润、税金）。</w:t>
      </w:r>
    </w:p>
    <w:p w14:paraId="06907FD6">
      <w:pPr>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rPr>
        <w:t>5）</w:t>
      </w:r>
      <w:r>
        <w:rPr>
          <w:rFonts w:hint="eastAsia" w:ascii="宋体" w:hAnsi="宋体" w:cs="宋体"/>
          <w:color w:val="auto"/>
          <w:szCs w:val="21"/>
          <w:highlight w:val="none"/>
          <w:lang w:val="zh-CN"/>
        </w:rPr>
        <w:t>上述各项费用投标人在报价时应充分考虑，如报价为零或未报，将认为此项工作已包括在其他项目和总报价中。</w:t>
      </w:r>
    </w:p>
    <w:p w14:paraId="31CCF17D">
      <w:pPr>
        <w:autoSpaceDE w:val="0"/>
        <w:autoSpaceDN w:val="0"/>
        <w:adjustRightInd w:val="0"/>
        <w:ind w:firstLine="480" w:firstLineChars="200"/>
        <w:rPr>
          <w:rFonts w:hint="eastAsia" w:ascii="宋体" w:hAnsi="宋体" w:cs="宋体"/>
          <w:color w:val="auto"/>
          <w:szCs w:val="21"/>
          <w:highlight w:val="none"/>
          <w:shd w:val="pct10" w:color="auto" w:fill="FFFFFF"/>
          <w:lang w:val="zh-CN"/>
        </w:rPr>
      </w:pPr>
      <w:r>
        <w:rPr>
          <w:rFonts w:hint="eastAsia" w:ascii="宋体" w:hAnsi="宋体" w:cs="宋体"/>
          <w:color w:val="auto"/>
          <w:szCs w:val="21"/>
          <w:highlight w:val="none"/>
        </w:rPr>
        <w:t>7.</w:t>
      </w:r>
      <w:r>
        <w:rPr>
          <w:rFonts w:hint="eastAsia" w:ascii="宋体" w:hAnsi="宋体" w:cs="宋体"/>
          <w:color w:val="auto"/>
          <w:szCs w:val="21"/>
          <w:highlight w:val="yellow"/>
          <w:lang w:val="zh-CN"/>
        </w:rPr>
        <w:t>本工程招标指定投标人采用</w:t>
      </w:r>
      <w:r>
        <w:rPr>
          <w:rFonts w:hint="eastAsia" w:ascii="宋体" w:hAnsi="宋体" w:cs="宋体"/>
          <w:color w:val="auto"/>
          <w:szCs w:val="21"/>
          <w:highlight w:val="yellow"/>
        </w:rPr>
        <w:t>光伏</w:t>
      </w:r>
      <w:r>
        <w:rPr>
          <w:rFonts w:hint="eastAsia" w:ascii="宋体" w:hAnsi="宋体" w:cs="宋体"/>
          <w:color w:val="auto"/>
          <w:szCs w:val="21"/>
          <w:highlight w:val="yellow"/>
          <w:lang w:val="zh-CN"/>
        </w:rPr>
        <w:t>定额及费率</w:t>
      </w:r>
      <w:r>
        <w:rPr>
          <w:rFonts w:hint="eastAsia" w:ascii="宋体" w:hAnsi="宋体" w:cs="宋体"/>
          <w:color w:val="auto"/>
          <w:szCs w:val="21"/>
          <w:highlight w:val="none"/>
          <w:lang w:val="zh-CN"/>
        </w:rPr>
        <w:t>。本工程鼓励投标人按成本价加合理利润报价。报价中的税金按当地税务部门规定办理。</w:t>
      </w:r>
    </w:p>
    <w:p w14:paraId="15016C4C">
      <w:pPr>
        <w:autoSpaceDE w:val="0"/>
        <w:autoSpaceDN w:val="0"/>
        <w:adjustRightInd w:val="0"/>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8.在报价时，投标人提供的工程量虽然系按各自的已有经验计算，但招标人和投标人均认为实际发生的工程量</w:t>
      </w:r>
      <w:r>
        <w:rPr>
          <w:rFonts w:hint="eastAsia" w:ascii="宋体" w:hAnsi="宋体" w:cs="宋体"/>
          <w:color w:val="auto"/>
          <w:szCs w:val="21"/>
          <w:highlight w:val="none"/>
          <w:lang w:val="en-US" w:eastAsia="zh-CN"/>
        </w:rPr>
        <w:t>应不少于</w:t>
      </w:r>
      <w:r>
        <w:rPr>
          <w:rFonts w:hint="eastAsia" w:ascii="宋体" w:hAnsi="宋体" w:cs="宋体"/>
          <w:color w:val="auto"/>
          <w:szCs w:val="21"/>
          <w:highlight w:val="none"/>
        </w:rPr>
        <w:t>投标人提供的工程量</w:t>
      </w:r>
      <w:r>
        <w:rPr>
          <w:rFonts w:hint="eastAsia" w:ascii="宋体" w:hAnsi="宋体" w:cs="宋体"/>
          <w:color w:val="auto"/>
          <w:szCs w:val="21"/>
          <w:highlight w:val="none"/>
          <w:lang w:eastAsia="zh-CN"/>
        </w:rPr>
        <w:t>，</w:t>
      </w:r>
      <w:r>
        <w:rPr>
          <w:rFonts w:hint="eastAsia" w:ascii="宋体" w:hAnsi="宋体" w:cs="宋体"/>
          <w:color w:val="auto"/>
          <w:szCs w:val="21"/>
          <w:highlight w:val="yellow"/>
        </w:rPr>
        <w:t>该报价所对应的工程量应为</w:t>
      </w:r>
      <w:r>
        <w:rPr>
          <w:rFonts w:hint="eastAsia" w:ascii="宋体" w:hAnsi="宋体" w:cs="宋体"/>
          <w:color w:val="auto"/>
          <w:szCs w:val="21"/>
          <w:highlight w:val="yellow"/>
          <w:lang w:val="en-US" w:eastAsia="zh-CN"/>
        </w:rPr>
        <w:t>实际发生的工程量</w:t>
      </w:r>
      <w:r>
        <w:rPr>
          <w:rFonts w:hint="eastAsia" w:ascii="宋体" w:hAnsi="宋体" w:cs="宋体"/>
          <w:color w:val="auto"/>
          <w:szCs w:val="21"/>
          <w:highlight w:val="none"/>
        </w:rPr>
        <w:t>。</w:t>
      </w:r>
    </w:p>
    <w:p w14:paraId="43BBF201">
      <w:pPr>
        <w:widowControl/>
        <w:adjustRightInd w:val="0"/>
        <w:snapToGrid w:val="0"/>
        <w:ind w:firstLine="480" w:firstLineChars="200"/>
        <w:rPr>
          <w:rFonts w:hint="eastAsia" w:ascii="宋体" w:hAnsi="宋体" w:cs="宋体"/>
          <w:color w:val="auto"/>
          <w:spacing w:val="2"/>
          <w:kern w:val="0"/>
          <w:szCs w:val="21"/>
          <w:highlight w:val="none"/>
        </w:rPr>
      </w:pPr>
      <w:r>
        <w:rPr>
          <w:rFonts w:hint="eastAsia" w:ascii="宋体" w:hAnsi="宋体" w:cs="宋体"/>
          <w:color w:val="auto"/>
          <w:szCs w:val="21"/>
          <w:highlight w:val="none"/>
          <w:lang w:val="zh-CN"/>
        </w:rPr>
        <w:t>9</w:t>
      </w:r>
      <w:r>
        <w:rPr>
          <w:rFonts w:hint="eastAsia" w:ascii="宋体" w:hAnsi="宋体" w:cs="宋体"/>
          <w:color w:val="auto"/>
          <w:spacing w:val="2"/>
          <w:kern w:val="0"/>
          <w:szCs w:val="21"/>
          <w:highlight w:val="none"/>
        </w:rPr>
        <w:t>.</w:t>
      </w:r>
      <w:r>
        <w:rPr>
          <w:rFonts w:hint="eastAsia" w:ascii="宋体" w:hAnsi="宋体" w:cs="宋体"/>
          <w:color w:val="auto"/>
          <w:spacing w:val="2"/>
          <w:kern w:val="0"/>
          <w:szCs w:val="21"/>
          <w:highlight w:val="yellow"/>
        </w:rPr>
        <w:t>工程施工用水、用电</w:t>
      </w:r>
    </w:p>
    <w:p w14:paraId="778F96C9">
      <w:pPr>
        <w:widowControl/>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施工水源由投标人从就近输水管网引出或自行</w:t>
      </w:r>
      <w:r>
        <w:rPr>
          <w:rFonts w:hint="eastAsia" w:ascii="宋体" w:hAnsi="宋体" w:cs="宋体"/>
          <w:snapToGrid w:val="0"/>
          <w:color w:val="auto"/>
          <w:kern w:val="0"/>
          <w:szCs w:val="21"/>
          <w:highlight w:val="none"/>
          <w:lang w:val="en-US" w:eastAsia="zh-CN"/>
        </w:rPr>
        <w:t>以其他方式</w:t>
      </w:r>
      <w:r>
        <w:rPr>
          <w:rFonts w:hint="eastAsia" w:ascii="宋体" w:hAnsi="宋体" w:cs="宋体"/>
          <w:snapToGrid w:val="0"/>
          <w:color w:val="auto"/>
          <w:kern w:val="0"/>
          <w:szCs w:val="21"/>
          <w:highlight w:val="none"/>
        </w:rPr>
        <w:t>解决，费用由投标人负责。</w:t>
      </w:r>
    </w:p>
    <w:p w14:paraId="73DF638B">
      <w:pPr>
        <w:widowControl/>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施工电源按</w:t>
      </w:r>
      <w:r>
        <w:rPr>
          <w:rFonts w:hint="eastAsia" w:ascii="宋体" w:hAnsi="宋体" w:cs="宋体"/>
          <w:snapToGrid w:val="0"/>
          <w:color w:val="auto"/>
          <w:kern w:val="0"/>
          <w:szCs w:val="21"/>
          <w:highlight w:val="none"/>
          <w:lang w:val="en-US" w:eastAsia="zh-CN"/>
        </w:rPr>
        <w:t>当地电网</w:t>
      </w:r>
      <w:r>
        <w:rPr>
          <w:rFonts w:hint="eastAsia" w:ascii="宋体" w:hAnsi="宋体" w:cs="宋体"/>
          <w:snapToGrid w:val="0"/>
          <w:color w:val="auto"/>
          <w:kern w:val="0"/>
          <w:szCs w:val="21"/>
          <w:highlight w:val="none"/>
        </w:rPr>
        <w:t>指定点由投标人引接电源，并自行装设变压器、配电箱、电度表、无功补偿装置等，通过竣工验收前的电费</w:t>
      </w:r>
      <w:r>
        <w:rPr>
          <w:rFonts w:hint="eastAsia" w:ascii="宋体" w:hAnsi="宋体" w:cs="宋体"/>
          <w:snapToGrid w:val="0"/>
          <w:color w:val="auto"/>
          <w:kern w:val="0"/>
          <w:szCs w:val="21"/>
          <w:highlight w:val="none"/>
          <w:lang w:eastAsia="zh-CN"/>
        </w:rPr>
        <w:t>（</w:t>
      </w:r>
      <w:r>
        <w:rPr>
          <w:rFonts w:hint="eastAsia" w:ascii="宋体" w:hAnsi="宋体" w:eastAsia="宋体" w:cs="宋体"/>
          <w:color w:val="auto"/>
          <w:sz w:val="21"/>
          <w:szCs w:val="21"/>
          <w:highlight w:val="none"/>
        </w:rPr>
        <w:t>含项目通过业主竣工验收前所有用电设备、发电设备的用电电费</w:t>
      </w:r>
      <w:r>
        <w:rPr>
          <w:rFonts w:hint="eastAsia" w:ascii="宋体" w:hAnsi="宋体" w:cs="宋体"/>
          <w:snapToGrid w:val="0"/>
          <w:color w:val="auto"/>
          <w:kern w:val="0"/>
          <w:szCs w:val="21"/>
          <w:highlight w:val="none"/>
          <w:lang w:eastAsia="zh-CN"/>
        </w:rPr>
        <w:t>）</w:t>
      </w:r>
      <w:r>
        <w:rPr>
          <w:rFonts w:hint="eastAsia" w:ascii="宋体" w:hAnsi="宋体" w:cs="宋体"/>
          <w:snapToGrid w:val="0"/>
          <w:color w:val="auto"/>
          <w:kern w:val="0"/>
          <w:szCs w:val="21"/>
          <w:highlight w:val="none"/>
        </w:rPr>
        <w:t>由投标人负责。投标人报价时应充分考虑预算中施工用水、用电费与市场的价差，结算时不予补差。</w:t>
      </w:r>
    </w:p>
    <w:p w14:paraId="3B471764">
      <w:pPr>
        <w:widowControl/>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10.投标报价将被视为按招标文件要求根据企业经验和市场情况完成承包范围全部工作内容的当期价格水平，投标人对本工程的报价应充分考虑的费用（</w:t>
      </w:r>
      <w:r>
        <w:rPr>
          <w:rFonts w:hint="eastAsia" w:ascii="宋体" w:hAnsi="宋体" w:cs="宋体"/>
          <w:snapToGrid w:val="0"/>
          <w:color w:val="auto"/>
          <w:kern w:val="0"/>
          <w:szCs w:val="21"/>
          <w:highlight w:val="cyan"/>
        </w:rPr>
        <w:t>包括但不限于以下内容</w:t>
      </w:r>
      <w:r>
        <w:rPr>
          <w:rFonts w:hint="eastAsia" w:ascii="宋体" w:hAnsi="宋体" w:cs="宋体"/>
          <w:snapToGrid w:val="0"/>
          <w:color w:val="auto"/>
          <w:kern w:val="0"/>
          <w:szCs w:val="21"/>
          <w:highlight w:val="none"/>
        </w:rPr>
        <w:t xml:space="preserve">）： </w:t>
      </w:r>
    </w:p>
    <w:p w14:paraId="08CF9A87">
      <w:pPr>
        <w:pStyle w:val="2"/>
        <w:rPr>
          <w:rFonts w:hint="eastAsia" w:ascii="宋体" w:hAnsi="宋体" w:cs="宋体"/>
          <w:snapToGrid w:val="0"/>
          <w:color w:val="auto"/>
          <w:kern w:val="0"/>
          <w:szCs w:val="21"/>
          <w:highlight w:val="none"/>
        </w:rPr>
      </w:pPr>
      <w:r>
        <w:rPr>
          <w:rFonts w:hint="eastAsia" w:ascii="宋体" w:hAnsi="宋体" w:eastAsia="宋体" w:cs="宋体"/>
          <w:color w:val="C00000"/>
          <w:szCs w:val="21"/>
          <w:highlight w:val="none"/>
          <w:lang w:val="en-US" w:eastAsia="zh-CN"/>
        </w:rPr>
        <w:t>generate</w:t>
      </w:r>
    </w:p>
    <w:p w14:paraId="33640BAF">
      <w:pPr>
        <w:widowControl/>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11.根据初设评审涉及的改动，不调整合同总价</w:t>
      </w:r>
      <w:r>
        <w:rPr>
          <w:rFonts w:hint="eastAsia" w:ascii="宋体" w:hAnsi="宋体" w:cs="宋体"/>
          <w:color w:val="auto"/>
          <w:kern w:val="0"/>
          <w:szCs w:val="21"/>
          <w:highlight w:val="none"/>
        </w:rPr>
        <w:t>。</w:t>
      </w:r>
    </w:p>
    <w:p w14:paraId="1DA70E4B">
      <w:pPr>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12.投标报价有效期与投标有效期一致。</w:t>
      </w:r>
    </w:p>
    <w:p w14:paraId="01B2C72A">
      <w:pPr>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13.技术册或报价清单中未提出的，但相应的国家或行业规范明确必须设置的建筑物或设备，投标人应在报价单中包含并特别标注。</w:t>
      </w:r>
    </w:p>
    <w:p w14:paraId="5CFA6C86">
      <w:pPr>
        <w:ind w:firstLine="480" w:firstLineChars="200"/>
        <w:rPr>
          <w:rFonts w:hint="eastAsia" w:ascii="宋体" w:hAnsi="宋体" w:cs="宋体"/>
          <w:b/>
          <w:bCs/>
          <w:color w:val="auto"/>
          <w:szCs w:val="21"/>
          <w:highlight w:val="none"/>
        </w:rPr>
      </w:pPr>
    </w:p>
    <w:p w14:paraId="026EAC66">
      <w:pPr>
        <w:rPr>
          <w:rFonts w:hint="eastAsia"/>
        </w:rPr>
      </w:pPr>
    </w:p>
    <w:p w14:paraId="0451F900">
      <w:pPr>
        <w:numPr>
          <w:numId w:val="0"/>
        </w:numPr>
        <w:rPr>
          <w:rFonts w:hint="eastAsia"/>
        </w:rPr>
      </w:pPr>
    </w:p>
    <w:bookmarkEnd w:id="178"/>
    <w:bookmarkEnd w:id="179"/>
    <w:bookmarkEnd w:id="180"/>
    <w:p w14:paraId="51FCBF25">
      <w:pPr>
        <w:pStyle w:val="103"/>
        <w:ind w:left="0" w:leftChars="0" w:firstLine="0" w:firstLineChars="0"/>
        <w:rPr>
          <w:rFonts w:hint="eastAsia" w:ascii="宋体" w:hAnsi="宋体" w:cs="宋体"/>
          <w:color w:val="auto"/>
          <w:szCs w:val="21"/>
          <w:highlight w:val="none"/>
        </w:rPr>
      </w:pPr>
    </w:p>
    <w:p w14:paraId="08ABCDEC">
      <w:pPr>
        <w:pStyle w:val="103"/>
        <w:rPr>
          <w:rFonts w:hint="eastAsia" w:ascii="宋体" w:hAnsi="宋体" w:cs="宋体"/>
          <w:color w:val="auto"/>
          <w:szCs w:val="21"/>
          <w:highlight w:val="none"/>
        </w:rPr>
      </w:pPr>
    </w:p>
    <w:p w14:paraId="50A345D8">
      <w:pPr>
        <w:pStyle w:val="103"/>
        <w:rPr>
          <w:rFonts w:hint="eastAsia" w:ascii="宋体" w:hAnsi="宋体" w:cs="宋体"/>
          <w:color w:val="auto"/>
          <w:szCs w:val="21"/>
          <w:highlight w:val="none"/>
        </w:rPr>
      </w:pPr>
    </w:p>
    <w:p w14:paraId="472EB541">
      <w:pPr>
        <w:pStyle w:val="103"/>
        <w:rPr>
          <w:rFonts w:hint="eastAsia" w:ascii="宋体" w:hAnsi="宋体" w:cs="宋体"/>
          <w:color w:val="auto"/>
          <w:szCs w:val="21"/>
          <w:highlight w:val="none"/>
        </w:rPr>
      </w:pPr>
    </w:p>
    <w:p w14:paraId="6AF44118">
      <w:pPr>
        <w:pStyle w:val="103"/>
        <w:rPr>
          <w:rFonts w:hint="eastAsia" w:ascii="宋体" w:hAnsi="宋体" w:cs="宋体"/>
          <w:color w:val="auto"/>
          <w:szCs w:val="21"/>
          <w:highlight w:val="none"/>
        </w:rPr>
      </w:pPr>
    </w:p>
    <w:p w14:paraId="3FB99A5D">
      <w:pPr>
        <w:pStyle w:val="103"/>
        <w:rPr>
          <w:rFonts w:hint="eastAsia" w:ascii="宋体" w:hAnsi="宋体" w:cs="宋体"/>
          <w:color w:val="auto"/>
          <w:szCs w:val="21"/>
          <w:highlight w:val="none"/>
        </w:rPr>
      </w:pPr>
    </w:p>
    <w:p w14:paraId="24371CF7">
      <w:pPr>
        <w:pStyle w:val="103"/>
        <w:rPr>
          <w:rFonts w:hint="eastAsia" w:ascii="宋体" w:hAnsi="宋体" w:cs="宋体"/>
          <w:color w:val="auto"/>
          <w:szCs w:val="21"/>
          <w:highlight w:val="none"/>
        </w:rPr>
      </w:pPr>
    </w:p>
    <w:p w14:paraId="53A5B6BF">
      <w:pPr>
        <w:pStyle w:val="103"/>
        <w:rPr>
          <w:rFonts w:hint="eastAsia" w:ascii="宋体" w:hAnsi="宋体" w:cs="宋体"/>
          <w:color w:val="auto"/>
          <w:szCs w:val="21"/>
          <w:highlight w:val="none"/>
        </w:rPr>
      </w:pPr>
    </w:p>
    <w:p w14:paraId="37D3BA7D">
      <w:pPr>
        <w:pStyle w:val="4"/>
        <w:numPr>
          <w:numId w:val="0"/>
        </w:numPr>
        <w:spacing w:before="0" w:after="0" w:line="360" w:lineRule="auto"/>
        <w:ind w:left="-425" w:leftChars="0"/>
        <w:jc w:val="center"/>
        <w:rPr>
          <w:rFonts w:hint="eastAsia" w:ascii="宋体" w:hAnsi="宋体" w:eastAsia="宋体" w:cs="宋体"/>
          <w:color w:val="auto"/>
          <w:szCs w:val="32"/>
          <w:highlight w:val="none"/>
        </w:rPr>
      </w:pPr>
      <w:bookmarkStart w:id="200" w:name="_Toc21265"/>
      <w:bookmarkStart w:id="201" w:name="_Toc3178"/>
      <w:bookmarkStart w:id="202" w:name="_Toc970"/>
      <w:bookmarkStart w:id="203" w:name="_Toc89712447"/>
      <w:r>
        <w:rPr>
          <w:rFonts w:hint="eastAsia" w:ascii="宋体" w:hAnsi="宋体" w:eastAsia="宋体" w:cs="宋体"/>
          <w:color w:val="auto"/>
          <w:szCs w:val="32"/>
          <w:highlight w:val="none"/>
        </w:rPr>
        <w:t xml:space="preserve">第六章  </w:t>
      </w:r>
      <w:r>
        <w:rPr>
          <w:rFonts w:hint="eastAsia" w:ascii="宋体" w:hAnsi="宋体" w:eastAsia="宋体" w:cs="宋体"/>
          <w:color w:val="auto"/>
          <w:szCs w:val="32"/>
          <w:highlight w:val="yellow"/>
        </w:rPr>
        <w:t>发包人提供的资料</w:t>
      </w:r>
      <w:bookmarkEnd w:id="200"/>
      <w:bookmarkEnd w:id="201"/>
      <w:bookmarkEnd w:id="202"/>
      <w:bookmarkEnd w:id="203"/>
    </w:p>
    <w:p w14:paraId="27667492">
      <w:pPr>
        <w:pStyle w:val="2"/>
        <w:rPr>
          <w:rFonts w:hint="eastAsia" w:ascii="宋体" w:hAnsi="宋体" w:cs="宋体"/>
          <w:color w:val="auto"/>
          <w:szCs w:val="21"/>
          <w:highlight w:val="none"/>
        </w:rPr>
      </w:pPr>
      <w:r>
        <w:rPr>
          <w:rFonts w:hint="eastAsia" w:ascii="宋体" w:hAnsi="宋体" w:eastAsia="宋体" w:cs="宋体"/>
          <w:color w:val="C00000"/>
          <w:szCs w:val="21"/>
          <w:highlight w:val="none"/>
          <w:lang w:val="en-US" w:eastAsia="zh-CN"/>
        </w:rPr>
        <w:t>generate</w:t>
      </w:r>
    </w:p>
    <w:p w14:paraId="42B5A2DE">
      <w:pPr>
        <w:pStyle w:val="103"/>
        <w:rPr>
          <w:rFonts w:hint="eastAsia" w:ascii="宋体" w:hAnsi="宋体" w:cs="宋体"/>
          <w:color w:val="auto"/>
          <w:szCs w:val="21"/>
          <w:highlight w:val="none"/>
        </w:rPr>
      </w:pPr>
    </w:p>
    <w:p w14:paraId="1093F329">
      <w:pPr>
        <w:pStyle w:val="103"/>
        <w:rPr>
          <w:rFonts w:hint="eastAsia" w:ascii="宋体" w:hAnsi="宋体" w:cs="宋体"/>
          <w:color w:val="auto"/>
          <w:szCs w:val="21"/>
          <w:highlight w:val="none"/>
        </w:rPr>
      </w:pPr>
    </w:p>
    <w:p w14:paraId="36F382E3">
      <w:pPr>
        <w:pStyle w:val="103"/>
        <w:rPr>
          <w:rFonts w:hint="eastAsia" w:ascii="宋体" w:hAnsi="宋体" w:cs="宋体"/>
          <w:color w:val="auto"/>
          <w:szCs w:val="21"/>
          <w:highlight w:val="none"/>
        </w:rPr>
      </w:pPr>
    </w:p>
    <w:p w14:paraId="5E17D547">
      <w:pPr>
        <w:pStyle w:val="103"/>
        <w:rPr>
          <w:rFonts w:hint="eastAsia" w:ascii="宋体" w:hAnsi="宋体" w:cs="宋体"/>
          <w:color w:val="auto"/>
          <w:szCs w:val="21"/>
          <w:highlight w:val="none"/>
        </w:rPr>
      </w:pPr>
    </w:p>
    <w:p w14:paraId="0F8B8263">
      <w:pPr>
        <w:pStyle w:val="103"/>
        <w:rPr>
          <w:rFonts w:hint="eastAsia" w:ascii="宋体" w:hAnsi="宋体" w:cs="宋体"/>
          <w:color w:val="auto"/>
          <w:szCs w:val="21"/>
          <w:highlight w:val="none"/>
        </w:rPr>
      </w:pPr>
    </w:p>
    <w:p w14:paraId="7349CA31">
      <w:pPr>
        <w:pStyle w:val="103"/>
        <w:rPr>
          <w:rFonts w:hint="eastAsia" w:ascii="宋体" w:hAnsi="宋体" w:cs="宋体"/>
          <w:color w:val="auto"/>
          <w:szCs w:val="21"/>
          <w:highlight w:val="none"/>
        </w:rPr>
      </w:pPr>
    </w:p>
    <w:p w14:paraId="467DD62C">
      <w:pPr>
        <w:pStyle w:val="103"/>
        <w:rPr>
          <w:rFonts w:hint="eastAsia" w:ascii="宋体" w:hAnsi="宋体" w:cs="宋体"/>
          <w:color w:val="auto"/>
          <w:szCs w:val="21"/>
          <w:highlight w:val="none"/>
        </w:rPr>
      </w:pPr>
    </w:p>
    <w:p w14:paraId="07B24D38">
      <w:pPr>
        <w:pStyle w:val="103"/>
        <w:rPr>
          <w:rFonts w:hint="eastAsia" w:ascii="宋体" w:hAnsi="宋体" w:cs="宋体"/>
          <w:color w:val="auto"/>
          <w:szCs w:val="21"/>
          <w:highlight w:val="none"/>
        </w:rPr>
      </w:pPr>
    </w:p>
    <w:p w14:paraId="0AEC92C3">
      <w:pPr>
        <w:pStyle w:val="103"/>
        <w:rPr>
          <w:rFonts w:hint="eastAsia" w:ascii="宋体" w:hAnsi="宋体" w:cs="宋体"/>
          <w:color w:val="auto"/>
          <w:szCs w:val="21"/>
          <w:highlight w:val="none"/>
        </w:rPr>
      </w:pPr>
    </w:p>
    <w:p w14:paraId="77CC65FA">
      <w:pPr>
        <w:pStyle w:val="103"/>
        <w:rPr>
          <w:rFonts w:hint="eastAsia" w:ascii="宋体" w:hAnsi="宋体" w:cs="宋体"/>
          <w:color w:val="auto"/>
          <w:szCs w:val="21"/>
          <w:highlight w:val="none"/>
        </w:rPr>
      </w:pPr>
    </w:p>
    <w:p w14:paraId="17C6B087">
      <w:pPr>
        <w:pStyle w:val="103"/>
        <w:rPr>
          <w:rFonts w:hint="eastAsia" w:ascii="宋体" w:hAnsi="宋体" w:cs="宋体"/>
          <w:color w:val="auto"/>
          <w:szCs w:val="21"/>
          <w:highlight w:val="none"/>
        </w:rPr>
      </w:pPr>
    </w:p>
    <w:p w14:paraId="64298978">
      <w:pPr>
        <w:pStyle w:val="103"/>
        <w:rPr>
          <w:rFonts w:hint="eastAsia" w:ascii="宋体" w:hAnsi="宋体" w:cs="宋体"/>
          <w:color w:val="auto"/>
          <w:szCs w:val="21"/>
          <w:highlight w:val="none"/>
        </w:rPr>
      </w:pPr>
    </w:p>
    <w:p w14:paraId="1A7B1166">
      <w:pPr>
        <w:pStyle w:val="103"/>
        <w:rPr>
          <w:rFonts w:hint="eastAsia" w:ascii="宋体" w:hAnsi="宋体" w:cs="宋体"/>
          <w:color w:val="auto"/>
          <w:szCs w:val="21"/>
          <w:highlight w:val="none"/>
        </w:rPr>
      </w:pPr>
    </w:p>
    <w:p w14:paraId="17BFE858">
      <w:pPr>
        <w:pStyle w:val="103"/>
        <w:rPr>
          <w:rFonts w:hint="eastAsia" w:ascii="宋体" w:hAnsi="宋体" w:cs="宋体"/>
          <w:color w:val="auto"/>
          <w:szCs w:val="21"/>
          <w:highlight w:val="none"/>
        </w:rPr>
      </w:pPr>
    </w:p>
    <w:p w14:paraId="0FA57349">
      <w:pPr>
        <w:pStyle w:val="103"/>
        <w:rPr>
          <w:rFonts w:hint="eastAsia" w:ascii="宋体" w:hAnsi="宋体" w:cs="宋体"/>
          <w:color w:val="auto"/>
          <w:szCs w:val="21"/>
          <w:highlight w:val="none"/>
        </w:rPr>
      </w:pPr>
    </w:p>
    <w:p w14:paraId="4137E8D0">
      <w:pPr>
        <w:pStyle w:val="103"/>
        <w:ind w:firstLine="420"/>
        <w:rPr>
          <w:rFonts w:hint="eastAsia" w:ascii="宋体" w:hAnsi="宋体" w:eastAsia="宋体" w:cs="宋体"/>
          <w:color w:val="auto"/>
          <w:szCs w:val="21"/>
          <w:highlight w:val="none"/>
        </w:rPr>
      </w:pPr>
    </w:p>
    <w:p w14:paraId="625ACAD5">
      <w:pPr>
        <w:pStyle w:val="103"/>
        <w:ind w:firstLine="420"/>
        <w:rPr>
          <w:rFonts w:hint="eastAsia" w:ascii="宋体" w:hAnsi="宋体" w:eastAsia="宋体" w:cs="宋体"/>
          <w:color w:val="auto"/>
          <w:szCs w:val="21"/>
          <w:highlight w:val="none"/>
        </w:rPr>
      </w:pPr>
    </w:p>
    <w:p w14:paraId="0D857481">
      <w:pPr>
        <w:pStyle w:val="103"/>
        <w:ind w:firstLine="420"/>
        <w:rPr>
          <w:rFonts w:hint="eastAsia" w:ascii="宋体" w:hAnsi="宋体" w:eastAsia="宋体" w:cs="宋体"/>
          <w:color w:val="auto"/>
          <w:szCs w:val="21"/>
          <w:highlight w:val="none"/>
        </w:rPr>
      </w:pPr>
    </w:p>
    <w:p w14:paraId="0BE1BA1B">
      <w:pPr>
        <w:pStyle w:val="103"/>
        <w:ind w:firstLine="420"/>
        <w:rPr>
          <w:rFonts w:hint="eastAsia" w:ascii="宋体" w:hAnsi="宋体" w:eastAsia="宋体" w:cs="宋体"/>
          <w:color w:val="auto"/>
          <w:szCs w:val="21"/>
          <w:highlight w:val="none"/>
        </w:rPr>
      </w:pPr>
    </w:p>
    <w:p w14:paraId="69B84CB7">
      <w:pPr>
        <w:pStyle w:val="103"/>
        <w:ind w:firstLine="420"/>
        <w:rPr>
          <w:rFonts w:hint="eastAsia" w:ascii="宋体" w:hAnsi="宋体" w:eastAsia="宋体" w:cs="宋体"/>
          <w:color w:val="auto"/>
          <w:szCs w:val="21"/>
          <w:highlight w:val="none"/>
        </w:rPr>
      </w:pPr>
    </w:p>
    <w:p w14:paraId="7448488A">
      <w:pPr>
        <w:pStyle w:val="103"/>
        <w:ind w:firstLine="420"/>
        <w:rPr>
          <w:rFonts w:hint="eastAsia" w:ascii="宋体" w:hAnsi="宋体" w:eastAsia="宋体" w:cs="宋体"/>
          <w:color w:val="auto"/>
          <w:szCs w:val="21"/>
          <w:highlight w:val="none"/>
        </w:rPr>
      </w:pPr>
    </w:p>
    <w:p w14:paraId="031B5130">
      <w:pPr>
        <w:pStyle w:val="103"/>
        <w:ind w:firstLine="420"/>
        <w:rPr>
          <w:rFonts w:hint="eastAsia" w:ascii="宋体" w:hAnsi="宋体" w:eastAsia="宋体" w:cs="宋体"/>
          <w:color w:val="auto"/>
          <w:szCs w:val="21"/>
          <w:highlight w:val="none"/>
        </w:rPr>
      </w:pPr>
    </w:p>
    <w:p w14:paraId="710B1ACF">
      <w:pPr>
        <w:pStyle w:val="103"/>
        <w:ind w:firstLine="420"/>
        <w:rPr>
          <w:rFonts w:hint="eastAsia" w:ascii="宋体" w:hAnsi="宋体" w:eastAsia="宋体" w:cs="宋体"/>
          <w:color w:val="auto"/>
          <w:szCs w:val="21"/>
          <w:highlight w:val="none"/>
        </w:rPr>
      </w:pPr>
    </w:p>
    <w:p w14:paraId="72210B61">
      <w:pPr>
        <w:pStyle w:val="103"/>
        <w:ind w:left="0" w:leftChars="0" w:firstLine="0" w:firstLineChars="0"/>
        <w:rPr>
          <w:rFonts w:hint="eastAsia" w:ascii="宋体" w:hAnsi="宋体" w:eastAsia="宋体" w:cs="宋体"/>
          <w:color w:val="auto"/>
          <w:szCs w:val="21"/>
          <w:highlight w:val="none"/>
        </w:rPr>
      </w:pPr>
    </w:p>
    <w:p w14:paraId="164BF0D7">
      <w:pPr>
        <w:pStyle w:val="4"/>
        <w:numPr>
          <w:numId w:val="0"/>
        </w:numPr>
        <w:spacing w:before="0" w:after="0" w:line="360" w:lineRule="auto"/>
        <w:ind w:left="-425" w:leftChars="0"/>
        <w:jc w:val="center"/>
        <w:rPr>
          <w:rFonts w:hint="eastAsia" w:ascii="宋体" w:hAnsi="宋体" w:eastAsia="宋体" w:cs="宋体"/>
          <w:color w:val="auto"/>
          <w:szCs w:val="32"/>
          <w:highlight w:val="none"/>
        </w:rPr>
      </w:pPr>
      <w:bookmarkStart w:id="204" w:name="_Toc1119"/>
      <w:bookmarkStart w:id="205" w:name="_Toc5566"/>
      <w:bookmarkStart w:id="206" w:name="_Toc29045"/>
      <w:r>
        <w:rPr>
          <w:rFonts w:hint="eastAsia" w:ascii="宋体" w:hAnsi="宋体" w:eastAsia="宋体" w:cs="宋体"/>
          <w:color w:val="auto"/>
          <w:szCs w:val="32"/>
          <w:highlight w:val="none"/>
        </w:rPr>
        <w:t>第七章 投标文件格式</w:t>
      </w:r>
      <w:bookmarkEnd w:id="204"/>
      <w:bookmarkEnd w:id="205"/>
      <w:bookmarkEnd w:id="206"/>
    </w:p>
    <w:p w14:paraId="15370942">
      <w:pPr>
        <w:pStyle w:val="103"/>
        <w:ind w:firstLine="420"/>
        <w:rPr>
          <w:rFonts w:hint="eastAsia" w:ascii="宋体" w:hAnsi="宋体" w:eastAsia="宋体" w:cs="宋体"/>
          <w:color w:val="auto"/>
          <w:szCs w:val="21"/>
          <w:highlight w:val="none"/>
        </w:rPr>
        <w:sectPr>
          <w:headerReference r:id="rId9" w:type="default"/>
          <w:footerReference r:id="rId10" w:type="default"/>
          <w:pgSz w:w="11906" w:h="16838"/>
          <w:pgMar w:top="1417" w:right="1417" w:bottom="1417" w:left="1417" w:header="851" w:footer="992" w:gutter="0"/>
          <w:pgNumType w:fmt="decimal"/>
          <w:cols w:space="720" w:num="1"/>
          <w:docGrid w:linePitch="312" w:charSpace="0"/>
        </w:sectPr>
      </w:pPr>
    </w:p>
    <w:p w14:paraId="43553C58">
      <w:pPr>
        <w:rPr>
          <w:rFonts w:hint="eastAsia"/>
          <w:lang w:eastAsia="zh-Hans"/>
        </w:rPr>
      </w:pPr>
    </w:p>
    <w:sectPr>
      <w:headerReference r:id="rId13" w:type="first"/>
      <w:footerReference r:id="rId16" w:type="first"/>
      <w:headerReference r:id="rId11" w:type="default"/>
      <w:footerReference r:id="rId14" w:type="default"/>
      <w:headerReference r:id="rId12" w:type="even"/>
      <w:footerReference r:id="rId15"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80"/>
      </w:pPr>
      <w:r>
        <w:separator/>
      </w:r>
    </w:p>
  </w:endnote>
  <w:endnote w:type="continuationSeparator" w:id="1">
    <w:p>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7A"/>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30101010101"/>
    <w:charset w:val="86"/>
    <w:family w:val="auto"/>
    <w:pitch w:val="default"/>
    <w:sig w:usb0="00000001" w:usb1="080E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crosoft YaHei UI">
    <w:altName w:val="苹方-简"/>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Heiti SC">
    <w:panose1 w:val="02000000000000000000"/>
    <w:charset w:val="80"/>
    <w:family w:val="auto"/>
    <w:pitch w:val="default"/>
    <w:sig w:usb0="8000002F" w:usb1="0800004A" w:usb2="00000000" w:usb3="00000000" w:csb0="203E0000" w:csb1="00000000"/>
  </w:font>
  <w:font w:name="等线">
    <w:altName w:val="汉仪中等线KW"/>
    <w:panose1 w:val="02010600030101010101"/>
    <w:charset w:val="86"/>
    <w:family w:val="auto"/>
    <w:pitch w:val="default"/>
    <w:sig w:usb0="00000000" w:usb1="00000000" w:usb2="00000016" w:usb3="00000000" w:csb0="0004000F" w:csb1="00000000"/>
  </w:font>
  <w:font w:name="Arial Unicode MS">
    <w:panose1 w:val="020B0604020202020204"/>
    <w:charset w:val="80"/>
    <w:family w:val="swiss"/>
    <w:pitch w:val="default"/>
    <w:sig w:usb0="FFFFFFFF" w:usb1="E9FFFFFF" w:usb2="0000003F" w:usb3="00000000" w:csb0="603F01FF" w:csb1="FFFF0000"/>
  </w:font>
  <w:font w:name="仿宋">
    <w:altName w:val="方正仿宋_GBK"/>
    <w:panose1 w:val="02010609060101010101"/>
    <w:charset w:val="86"/>
    <w:family w:val="modern"/>
    <w:pitch w:val="default"/>
    <w:sig w:usb0="00000000" w:usb1="00000000" w:usb2="00000016" w:usb3="00000000" w:csb0="00040001" w:csb1="00000000"/>
  </w:font>
  <w:font w:name="PMingLiU">
    <w:altName w:val="宋体-繁"/>
    <w:panose1 w:val="02010601000101010101"/>
    <w:charset w:val="88"/>
    <w:family w:val="roman"/>
    <w:pitch w:val="default"/>
    <w:sig w:usb0="00000000" w:usb1="00000000" w:usb2="00000016" w:usb3="00000000" w:csb0="00100001" w:csb1="00000000"/>
  </w:font>
  <w:font w:name="Segoe UI Symbol">
    <w:altName w:val="苹方-简"/>
    <w:panose1 w:val="020B0502040204020203"/>
    <w:charset w:val="00"/>
    <w:family w:val="swiss"/>
    <w:pitch w:val="default"/>
    <w:sig w:usb0="00000000" w:usb1="00000000" w:usb2="00040000" w:usb3="00000000" w:csb0="00000001" w:csb1="00000000"/>
  </w:font>
  <w:font w:name="微软雅黑">
    <w:altName w:val="汉仪旗黑"/>
    <w:panose1 w:val="020B0503020204020204"/>
    <w:charset w:val="86"/>
    <w:family w:val="swiss"/>
    <w:pitch w:val="default"/>
    <w:sig w:usb0="00000000" w:usb1="00000000" w:usb2="00000016" w:usb3="00000000" w:csb0="0004001F" w:csb1="0000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宋体-繁">
    <w:panose1 w:val="02010600040101010101"/>
    <w:charset w:val="86"/>
    <w:family w:val="auto"/>
    <w:pitch w:val="default"/>
    <w:sig w:usb0="00000287" w:usb1="080F0000" w:usb2="00000000" w:usb3="00000000" w:csb0="0004009F" w:csb1="DFD70000"/>
  </w:font>
  <w:font w:name="汉仪旗黑">
    <w:panose1 w:val="00020600040101010101"/>
    <w:charset w:val="86"/>
    <w:family w:val="auto"/>
    <w:pitch w:val="default"/>
    <w:sig w:usb0="A00002BF" w:usb1="1ACF7CFA" w:usb2="00000016" w:usb3="00000000" w:csb0="0004009F" w:csb1="DFD7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0F45EC"/>
  <w:p w14:paraId="57B3845E">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D7C8AD">
    <w:pPr>
      <w:pStyle w:val="2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C617F4">
                          <w:pPr>
                            <w:pStyle w:val="24"/>
                            <w:rPr>
                              <w:rStyle w:val="39"/>
                            </w:rPr>
                          </w:pPr>
                          <w:r>
                            <w:fldChar w:fldCharType="begin"/>
                          </w:r>
                          <w:r>
                            <w:rPr>
                              <w:rStyle w:val="39"/>
                            </w:rPr>
                            <w:instrText xml:space="preserve">PAGE  </w:instrText>
                          </w:r>
                          <w:r>
                            <w:fldChar w:fldCharType="separate"/>
                          </w:r>
                          <w:r>
                            <w:rPr>
                              <w:rStyle w:val="39"/>
                            </w:rPr>
                            <w:t>I</w:t>
                          </w:r>
                          <w:r>
                            <w:fldChar w:fldCharType="end"/>
                          </w:r>
                        </w:p>
                        <w:p w14:paraId="62099121"/>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G+QoMkBAACZAwAADgAAAGRycy9lMm9Eb2MueG1srVPNjtMwEL4j8Q6W&#10;79TZroS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b5CgyQEAAJkDAAAOAAAAAAAAAAEAIAAAAB4BAABkcnMvZTJvRG9j&#10;LnhtbFBLBQYAAAAABgAGAFkBAABZBQAAAAA=&#10;">
              <v:fill on="f" focussize="0,0"/>
              <v:stroke on="f"/>
              <v:imagedata o:title=""/>
              <o:lock v:ext="edit" aspectratio="f"/>
              <v:textbox inset="0mm,0mm,0mm,0mm" style="mso-fit-shape-to-text:t;">
                <w:txbxContent>
                  <w:p w14:paraId="4BC617F4">
                    <w:pPr>
                      <w:pStyle w:val="24"/>
                      <w:rPr>
                        <w:rStyle w:val="39"/>
                      </w:rPr>
                    </w:pPr>
                    <w:r>
                      <w:fldChar w:fldCharType="begin"/>
                    </w:r>
                    <w:r>
                      <w:rPr>
                        <w:rStyle w:val="39"/>
                      </w:rPr>
                      <w:instrText xml:space="preserve">PAGE  </w:instrText>
                    </w:r>
                    <w:r>
                      <w:fldChar w:fldCharType="separate"/>
                    </w:r>
                    <w:r>
                      <w:rPr>
                        <w:rStyle w:val="39"/>
                      </w:rPr>
                      <w:t>I</w:t>
                    </w:r>
                    <w:r>
                      <w:fldChar w:fldCharType="end"/>
                    </w:r>
                  </w:p>
                  <w:p w14:paraId="62099121"/>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509190">
    <w:pPr>
      <w:pStyle w:val="24"/>
      <w:jc w:val="center"/>
      <w:rPr>
        <w:sz w:val="16"/>
      </w:rPr>
    </w:pPr>
    <w:r>
      <w:rPr>
        <w:sz w:val="1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0756FB">
                          <w:pPr>
                            <w:pStyle w:val="24"/>
                            <w:jc w:val="center"/>
                          </w:pPr>
                          <w:r>
                            <w:rPr>
                              <w:sz w:val="20"/>
                            </w:rPr>
                            <w:fldChar w:fldCharType="begin"/>
                          </w:r>
                          <w:r>
                            <w:rPr>
                              <w:sz w:val="20"/>
                            </w:rPr>
                            <w:instrText xml:space="preserve">PAGE</w:instrText>
                          </w:r>
                          <w:r>
                            <w:rPr>
                              <w:sz w:val="20"/>
                            </w:rPr>
                            <w:fldChar w:fldCharType="separate"/>
                          </w:r>
                          <w:r>
                            <w:rPr>
                              <w:sz w:val="20"/>
                            </w:rPr>
                            <w:t>168</w:t>
                          </w:r>
                          <w:r>
                            <w:rPr>
                              <w:sz w:val="20"/>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fill on="f" focussize="0,0"/>
              <v:stroke on="f"/>
              <v:imagedata o:title=""/>
              <o:lock v:ext="edit" aspectratio="f"/>
              <v:textbox inset="0mm,0mm,0mm,0mm" style="mso-fit-shape-to-text:t;">
                <w:txbxContent>
                  <w:p w14:paraId="450756FB">
                    <w:pPr>
                      <w:pStyle w:val="24"/>
                      <w:jc w:val="center"/>
                    </w:pPr>
                    <w:r>
                      <w:rPr>
                        <w:sz w:val="20"/>
                      </w:rPr>
                      <w:fldChar w:fldCharType="begin"/>
                    </w:r>
                    <w:r>
                      <w:rPr>
                        <w:sz w:val="20"/>
                      </w:rPr>
                      <w:instrText xml:space="preserve">PAGE</w:instrText>
                    </w:r>
                    <w:r>
                      <w:rPr>
                        <w:sz w:val="20"/>
                      </w:rPr>
                      <w:fldChar w:fldCharType="separate"/>
                    </w:r>
                    <w:r>
                      <w:rPr>
                        <w:sz w:val="20"/>
                      </w:rPr>
                      <w:t>168</w:t>
                    </w:r>
                    <w:r>
                      <w:rPr>
                        <w:sz w:val="20"/>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DB3A92">
    <w:pPr>
      <w:pStyle w:val="24"/>
      <w:ind w:left="480"/>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B0F90A">
    <w:pPr>
      <w:pStyle w:val="24"/>
      <w:ind w:left="480"/>
      <w:rPr>
        <w:rFonts w:hint="eastAsi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BBA49">
    <w:pPr>
      <w:pStyle w:val="24"/>
      <w:ind w:left="48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left="480"/>
      </w:pPr>
      <w:r>
        <w:separator/>
      </w:r>
    </w:p>
  </w:footnote>
  <w:footnote w:type="continuationSeparator" w:id="1">
    <w:p>
      <w:pPr>
        <w:spacing w:line="360" w:lineRule="auto"/>
        <w:ind w:left="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E25C33">
    <w:pPr>
      <w:pStyle w:val="2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FD284F">
    <w:pPr>
      <w:pStyle w:val="22"/>
      <w:pBdr>
        <w:bottom w:val="none" w:color="auto" w:sz="0" w:space="0"/>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76ED38">
    <w:pPr>
      <w:pStyle w:val="22"/>
      <w:pBdr>
        <w:bottom w:val="none" w:color="auto" w:sz="0" w:space="0"/>
      </w:pBd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7F1AF0">
    <w:pPr>
      <w:pStyle w:val="22"/>
      <w:ind w:left="480"/>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C27B38">
    <w:pPr>
      <w:pStyle w:val="22"/>
      <w:ind w:left="480"/>
      <w:rPr>
        <w:rFonts w:hint="eastAsi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B3C168">
    <w:pPr>
      <w:pStyle w:val="22"/>
      <w:ind w:left="48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44DF6E"/>
    <w:multiLevelType w:val="singleLevel"/>
    <w:tmpl w:val="DE44DF6E"/>
    <w:lvl w:ilvl="0" w:tentative="0">
      <w:start w:val="1"/>
      <w:numFmt w:val="decimal"/>
      <w:suff w:val="nothing"/>
      <w:lvlText w:val="（%1）"/>
      <w:lvlJc w:val="left"/>
    </w:lvl>
  </w:abstractNum>
  <w:abstractNum w:abstractNumId="1">
    <w:nsid w:val="EDF720AA"/>
    <w:multiLevelType w:val="singleLevel"/>
    <w:tmpl w:val="EDF720AA"/>
    <w:lvl w:ilvl="0" w:tentative="0">
      <w:start w:val="2"/>
      <w:numFmt w:val="decimal"/>
      <w:lvlText w:val="%1."/>
      <w:lvlJc w:val="left"/>
      <w:pPr>
        <w:tabs>
          <w:tab w:val="left" w:pos="312"/>
        </w:tabs>
      </w:pPr>
    </w:lvl>
  </w:abstractNum>
  <w:abstractNum w:abstractNumId="2">
    <w:nsid w:val="FBF6C4C1"/>
    <w:multiLevelType w:val="singleLevel"/>
    <w:tmpl w:val="FBF6C4C1"/>
    <w:lvl w:ilvl="0" w:tentative="0">
      <w:start w:val="4"/>
      <w:numFmt w:val="chineseCounting"/>
      <w:suff w:val="space"/>
      <w:lvlText w:val="第%1章"/>
      <w:lvlJc w:val="left"/>
      <w:rPr>
        <w:rFonts w:hint="eastAsia"/>
      </w:rPr>
    </w:lvl>
  </w:abstractNum>
  <w:abstractNum w:abstractNumId="3">
    <w:nsid w:val="0CBE0B52"/>
    <w:multiLevelType w:val="singleLevel"/>
    <w:tmpl w:val="0CBE0B52"/>
    <w:lvl w:ilvl="0" w:tentative="0">
      <w:start w:val="1"/>
      <w:numFmt w:val="decimal"/>
      <w:suff w:val="nothing"/>
      <w:lvlText w:val="%1、"/>
      <w:lvlJc w:val="left"/>
    </w:lvl>
  </w:abstractNum>
  <w:abstractNum w:abstractNumId="4">
    <w:nsid w:val="4DF8733F"/>
    <w:multiLevelType w:val="multilevel"/>
    <w:tmpl w:val="4DF8733F"/>
    <w:lvl w:ilvl="0" w:tentative="0">
      <w:start w:val="1"/>
      <w:numFmt w:val="bullet"/>
      <w:pStyle w:val="50"/>
      <w:lvlText w:val=""/>
      <w:lvlJc w:val="left"/>
      <w:pPr>
        <w:ind w:left="640" w:hanging="440"/>
      </w:pPr>
      <w:rPr>
        <w:rFonts w:hint="default" w:ascii="Wingdings" w:hAnsi="Wingdings"/>
      </w:rPr>
    </w:lvl>
    <w:lvl w:ilvl="1" w:tentative="0">
      <w:start w:val="1"/>
      <w:numFmt w:val="bullet"/>
      <w:lvlText w:val=""/>
      <w:lvlJc w:val="left"/>
      <w:pPr>
        <w:ind w:left="1080" w:hanging="440"/>
      </w:pPr>
      <w:rPr>
        <w:rFonts w:hint="default" w:ascii="Wingdings" w:hAnsi="Wingdings"/>
      </w:rPr>
    </w:lvl>
    <w:lvl w:ilvl="2" w:tentative="0">
      <w:start w:val="1"/>
      <w:numFmt w:val="bullet"/>
      <w:lvlText w:val=""/>
      <w:lvlJc w:val="left"/>
      <w:pPr>
        <w:ind w:left="1520" w:hanging="440"/>
      </w:pPr>
      <w:rPr>
        <w:rFonts w:hint="default" w:ascii="Wingdings" w:hAnsi="Wingdings"/>
      </w:rPr>
    </w:lvl>
    <w:lvl w:ilvl="3" w:tentative="0">
      <w:start w:val="1"/>
      <w:numFmt w:val="bullet"/>
      <w:lvlText w:val=""/>
      <w:lvlJc w:val="left"/>
      <w:pPr>
        <w:ind w:left="1960" w:hanging="440"/>
      </w:pPr>
      <w:rPr>
        <w:rFonts w:hint="default" w:ascii="Wingdings" w:hAnsi="Wingdings"/>
      </w:rPr>
    </w:lvl>
    <w:lvl w:ilvl="4" w:tentative="0">
      <w:start w:val="1"/>
      <w:numFmt w:val="bullet"/>
      <w:lvlText w:val=""/>
      <w:lvlJc w:val="left"/>
      <w:pPr>
        <w:ind w:left="2400" w:hanging="440"/>
      </w:pPr>
      <w:rPr>
        <w:rFonts w:hint="default" w:ascii="Wingdings" w:hAnsi="Wingdings"/>
      </w:rPr>
    </w:lvl>
    <w:lvl w:ilvl="5" w:tentative="0">
      <w:start w:val="1"/>
      <w:numFmt w:val="bullet"/>
      <w:lvlText w:val=""/>
      <w:lvlJc w:val="left"/>
      <w:pPr>
        <w:ind w:left="2840" w:hanging="440"/>
      </w:pPr>
      <w:rPr>
        <w:rFonts w:hint="default" w:ascii="Wingdings" w:hAnsi="Wingdings"/>
      </w:rPr>
    </w:lvl>
    <w:lvl w:ilvl="6" w:tentative="0">
      <w:start w:val="1"/>
      <w:numFmt w:val="bullet"/>
      <w:lvlText w:val=""/>
      <w:lvlJc w:val="left"/>
      <w:pPr>
        <w:ind w:left="3280" w:hanging="440"/>
      </w:pPr>
      <w:rPr>
        <w:rFonts w:hint="default" w:ascii="Wingdings" w:hAnsi="Wingdings"/>
      </w:rPr>
    </w:lvl>
    <w:lvl w:ilvl="7" w:tentative="0">
      <w:start w:val="1"/>
      <w:numFmt w:val="bullet"/>
      <w:lvlText w:val=""/>
      <w:lvlJc w:val="left"/>
      <w:pPr>
        <w:ind w:left="3720" w:hanging="440"/>
      </w:pPr>
      <w:rPr>
        <w:rFonts w:hint="default" w:ascii="Wingdings" w:hAnsi="Wingdings"/>
      </w:rPr>
    </w:lvl>
    <w:lvl w:ilvl="8" w:tentative="0">
      <w:start w:val="1"/>
      <w:numFmt w:val="bullet"/>
      <w:lvlText w:val=""/>
      <w:lvlJc w:val="left"/>
      <w:pPr>
        <w:ind w:left="4160" w:hanging="440"/>
      </w:pPr>
      <w:rPr>
        <w:rFonts w:hint="default" w:ascii="Wingdings" w:hAnsi="Wingdings"/>
      </w:rPr>
    </w:lvl>
  </w:abstractNum>
  <w:abstractNum w:abstractNumId="5">
    <w:nsid w:val="5803E8C3"/>
    <w:multiLevelType w:val="singleLevel"/>
    <w:tmpl w:val="5803E8C3"/>
    <w:lvl w:ilvl="0" w:tentative="0">
      <w:start w:val="1"/>
      <w:numFmt w:val="decimal"/>
      <w:suff w:val="nothing"/>
      <w:lvlText w:val="%1、"/>
      <w:lvlJc w:val="left"/>
    </w:lvl>
  </w:abstractNum>
  <w:abstractNum w:abstractNumId="6">
    <w:nsid w:val="58DED30C"/>
    <w:multiLevelType w:val="singleLevel"/>
    <w:tmpl w:val="58DED30C"/>
    <w:lvl w:ilvl="0" w:tentative="0">
      <w:start w:val="18"/>
      <w:numFmt w:val="decimal"/>
      <w:suff w:val="nothing"/>
      <w:lvlText w:val="%1、"/>
      <w:lvlJc w:val="left"/>
    </w:lvl>
  </w:abstractNum>
  <w:abstractNum w:abstractNumId="7">
    <w:nsid w:val="5A787AD3"/>
    <w:multiLevelType w:val="multilevel"/>
    <w:tmpl w:val="5A787AD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B5C731F"/>
    <w:multiLevelType w:val="multilevel"/>
    <w:tmpl w:val="6B5C731F"/>
    <w:lvl w:ilvl="0" w:tentative="0">
      <w:start w:val="1"/>
      <w:numFmt w:val="decimal"/>
      <w:pStyle w:val="4"/>
      <w:lvlText w:val="%1"/>
      <w:lvlJc w:val="left"/>
      <w:pPr>
        <w:ind w:left="425" w:hanging="425"/>
      </w:pPr>
      <w:rPr>
        <w:rFonts w:hint="eastAsia"/>
      </w:rPr>
    </w:lvl>
    <w:lvl w:ilvl="1" w:tentative="0">
      <w:start w:val="1"/>
      <w:numFmt w:val="decimal"/>
      <w:pStyle w:val="5"/>
      <w:lvlText w:val="%1.%2"/>
      <w:lvlJc w:val="left"/>
      <w:pPr>
        <w:ind w:left="1559" w:hanging="567"/>
      </w:pPr>
      <w:rPr>
        <w:rFonts w:hint="eastAsia"/>
      </w:rPr>
    </w:lvl>
    <w:lvl w:ilvl="2" w:tentative="0">
      <w:start w:val="1"/>
      <w:numFmt w:val="decimal"/>
      <w:pStyle w:val="6"/>
      <w:lvlText w:val="%1.%2.%3"/>
      <w:lvlJc w:val="left"/>
      <w:pPr>
        <w:ind w:left="1418" w:hanging="567"/>
      </w:pPr>
      <w:rPr>
        <w:rFonts w:hint="default"/>
        <w:highlight w:val="yellow"/>
      </w:rPr>
    </w:lvl>
    <w:lvl w:ilvl="3" w:tentative="0">
      <w:start w:val="1"/>
      <w:numFmt w:val="decimal"/>
      <w:pStyle w:val="7"/>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8"/>
  </w:num>
  <w:num w:numId="2">
    <w:abstractNumId w:val="4"/>
  </w:num>
  <w:num w:numId="3">
    <w:abstractNumId w:val="7"/>
  </w:num>
  <w:num w:numId="4">
    <w:abstractNumId w:val="0"/>
  </w:num>
  <w:num w:numId="5">
    <w:abstractNumId w:val="1"/>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jMzUzYTVjOWY5MzJjMmEwYzIzMmU1NjkxYjIwNzMifQ=="/>
  </w:docVars>
  <w:rsids>
    <w:rsidRoot w:val="00E84401"/>
    <w:rsid w:val="00001308"/>
    <w:rsid w:val="00002739"/>
    <w:rsid w:val="00004F6B"/>
    <w:rsid w:val="00005BCE"/>
    <w:rsid w:val="00005E3E"/>
    <w:rsid w:val="000070E9"/>
    <w:rsid w:val="00010D3F"/>
    <w:rsid w:val="00010E31"/>
    <w:rsid w:val="00012A5A"/>
    <w:rsid w:val="0001390C"/>
    <w:rsid w:val="000159C1"/>
    <w:rsid w:val="00015AD8"/>
    <w:rsid w:val="0001753D"/>
    <w:rsid w:val="000208D3"/>
    <w:rsid w:val="000212F2"/>
    <w:rsid w:val="0002235D"/>
    <w:rsid w:val="000260F1"/>
    <w:rsid w:val="00031000"/>
    <w:rsid w:val="000321B7"/>
    <w:rsid w:val="00032520"/>
    <w:rsid w:val="00033E9A"/>
    <w:rsid w:val="00033F18"/>
    <w:rsid w:val="00034507"/>
    <w:rsid w:val="00040294"/>
    <w:rsid w:val="0004057F"/>
    <w:rsid w:val="00041646"/>
    <w:rsid w:val="00042CBE"/>
    <w:rsid w:val="00043A8E"/>
    <w:rsid w:val="0004532E"/>
    <w:rsid w:val="00050FAB"/>
    <w:rsid w:val="000514B2"/>
    <w:rsid w:val="00054264"/>
    <w:rsid w:val="00055F78"/>
    <w:rsid w:val="000578C4"/>
    <w:rsid w:val="00057E31"/>
    <w:rsid w:val="00057F40"/>
    <w:rsid w:val="00057FE0"/>
    <w:rsid w:val="0006193E"/>
    <w:rsid w:val="00062634"/>
    <w:rsid w:val="00062856"/>
    <w:rsid w:val="00065306"/>
    <w:rsid w:val="00065806"/>
    <w:rsid w:val="00072231"/>
    <w:rsid w:val="00073532"/>
    <w:rsid w:val="00074072"/>
    <w:rsid w:val="00075A0F"/>
    <w:rsid w:val="00076158"/>
    <w:rsid w:val="000814DD"/>
    <w:rsid w:val="000818C7"/>
    <w:rsid w:val="00081F47"/>
    <w:rsid w:val="000845E5"/>
    <w:rsid w:val="00084791"/>
    <w:rsid w:val="00084965"/>
    <w:rsid w:val="00084A21"/>
    <w:rsid w:val="00084E41"/>
    <w:rsid w:val="00085556"/>
    <w:rsid w:val="00086605"/>
    <w:rsid w:val="0008700E"/>
    <w:rsid w:val="00087286"/>
    <w:rsid w:val="00090784"/>
    <w:rsid w:val="00090D6B"/>
    <w:rsid w:val="00091E64"/>
    <w:rsid w:val="00092B9E"/>
    <w:rsid w:val="000936BF"/>
    <w:rsid w:val="00093B73"/>
    <w:rsid w:val="00095597"/>
    <w:rsid w:val="00095A73"/>
    <w:rsid w:val="000964A6"/>
    <w:rsid w:val="00096EB0"/>
    <w:rsid w:val="00097143"/>
    <w:rsid w:val="000A0F0A"/>
    <w:rsid w:val="000A197E"/>
    <w:rsid w:val="000A2815"/>
    <w:rsid w:val="000A302B"/>
    <w:rsid w:val="000A3D04"/>
    <w:rsid w:val="000A6853"/>
    <w:rsid w:val="000A6EE3"/>
    <w:rsid w:val="000B019E"/>
    <w:rsid w:val="000B0E99"/>
    <w:rsid w:val="000B2A5C"/>
    <w:rsid w:val="000B2C3D"/>
    <w:rsid w:val="000B3758"/>
    <w:rsid w:val="000B3F85"/>
    <w:rsid w:val="000C0134"/>
    <w:rsid w:val="000C03E9"/>
    <w:rsid w:val="000C0B40"/>
    <w:rsid w:val="000C0D23"/>
    <w:rsid w:val="000C13DA"/>
    <w:rsid w:val="000C14AC"/>
    <w:rsid w:val="000C160B"/>
    <w:rsid w:val="000C2F65"/>
    <w:rsid w:val="000C46E1"/>
    <w:rsid w:val="000C69D5"/>
    <w:rsid w:val="000C69F6"/>
    <w:rsid w:val="000C6D9A"/>
    <w:rsid w:val="000C795C"/>
    <w:rsid w:val="000D1BA8"/>
    <w:rsid w:val="000D2967"/>
    <w:rsid w:val="000D2E20"/>
    <w:rsid w:val="000D3BF9"/>
    <w:rsid w:val="000D4EA0"/>
    <w:rsid w:val="000D7CD8"/>
    <w:rsid w:val="000E010C"/>
    <w:rsid w:val="000E0E53"/>
    <w:rsid w:val="000E154B"/>
    <w:rsid w:val="000E2356"/>
    <w:rsid w:val="000E305C"/>
    <w:rsid w:val="000E6886"/>
    <w:rsid w:val="000F1189"/>
    <w:rsid w:val="000F3203"/>
    <w:rsid w:val="000F323F"/>
    <w:rsid w:val="000F593C"/>
    <w:rsid w:val="001004F0"/>
    <w:rsid w:val="00103935"/>
    <w:rsid w:val="00103BF9"/>
    <w:rsid w:val="001065A4"/>
    <w:rsid w:val="001078D4"/>
    <w:rsid w:val="00107B39"/>
    <w:rsid w:val="0011058C"/>
    <w:rsid w:val="00110F87"/>
    <w:rsid w:val="001120F9"/>
    <w:rsid w:val="00113AD3"/>
    <w:rsid w:val="00115345"/>
    <w:rsid w:val="00116C35"/>
    <w:rsid w:val="00117EBF"/>
    <w:rsid w:val="001205B3"/>
    <w:rsid w:val="00120DBE"/>
    <w:rsid w:val="0012128A"/>
    <w:rsid w:val="00121546"/>
    <w:rsid w:val="00121FBE"/>
    <w:rsid w:val="0012374E"/>
    <w:rsid w:val="001260C5"/>
    <w:rsid w:val="00127C2B"/>
    <w:rsid w:val="001300EB"/>
    <w:rsid w:val="00131A68"/>
    <w:rsid w:val="0013305D"/>
    <w:rsid w:val="001342CA"/>
    <w:rsid w:val="001359C1"/>
    <w:rsid w:val="00136AB2"/>
    <w:rsid w:val="00137712"/>
    <w:rsid w:val="0014088C"/>
    <w:rsid w:val="001423CF"/>
    <w:rsid w:val="00142D9F"/>
    <w:rsid w:val="00144024"/>
    <w:rsid w:val="001444DE"/>
    <w:rsid w:val="001448E2"/>
    <w:rsid w:val="001453D7"/>
    <w:rsid w:val="00145B86"/>
    <w:rsid w:val="00146635"/>
    <w:rsid w:val="00146885"/>
    <w:rsid w:val="001469CB"/>
    <w:rsid w:val="00150618"/>
    <w:rsid w:val="00152253"/>
    <w:rsid w:val="00152FD8"/>
    <w:rsid w:val="00153F24"/>
    <w:rsid w:val="00154216"/>
    <w:rsid w:val="001547E3"/>
    <w:rsid w:val="00154A51"/>
    <w:rsid w:val="00154C50"/>
    <w:rsid w:val="00155237"/>
    <w:rsid w:val="001552E1"/>
    <w:rsid w:val="00156DF1"/>
    <w:rsid w:val="001579D0"/>
    <w:rsid w:val="001605ED"/>
    <w:rsid w:val="00160A3F"/>
    <w:rsid w:val="00161C2F"/>
    <w:rsid w:val="00162963"/>
    <w:rsid w:val="00163A88"/>
    <w:rsid w:val="00165BAC"/>
    <w:rsid w:val="00166874"/>
    <w:rsid w:val="00167273"/>
    <w:rsid w:val="001723E6"/>
    <w:rsid w:val="00173C34"/>
    <w:rsid w:val="00174BA9"/>
    <w:rsid w:val="00176451"/>
    <w:rsid w:val="00176CC4"/>
    <w:rsid w:val="0017756D"/>
    <w:rsid w:val="0018001B"/>
    <w:rsid w:val="00180725"/>
    <w:rsid w:val="0018338A"/>
    <w:rsid w:val="0018339C"/>
    <w:rsid w:val="00183DCD"/>
    <w:rsid w:val="00183ECD"/>
    <w:rsid w:val="00183ED3"/>
    <w:rsid w:val="00184D38"/>
    <w:rsid w:val="00184D58"/>
    <w:rsid w:val="00186D75"/>
    <w:rsid w:val="00186E95"/>
    <w:rsid w:val="00190612"/>
    <w:rsid w:val="00190DC2"/>
    <w:rsid w:val="001915AA"/>
    <w:rsid w:val="00193E78"/>
    <w:rsid w:val="001952DD"/>
    <w:rsid w:val="00195958"/>
    <w:rsid w:val="00196B12"/>
    <w:rsid w:val="0019717C"/>
    <w:rsid w:val="001A1CD2"/>
    <w:rsid w:val="001A2040"/>
    <w:rsid w:val="001A2A2B"/>
    <w:rsid w:val="001A2A90"/>
    <w:rsid w:val="001A575D"/>
    <w:rsid w:val="001A5EB5"/>
    <w:rsid w:val="001A633E"/>
    <w:rsid w:val="001A6D20"/>
    <w:rsid w:val="001A7610"/>
    <w:rsid w:val="001A798A"/>
    <w:rsid w:val="001B0B6B"/>
    <w:rsid w:val="001B13E4"/>
    <w:rsid w:val="001B3E60"/>
    <w:rsid w:val="001B4A5A"/>
    <w:rsid w:val="001B4AD3"/>
    <w:rsid w:val="001B6B83"/>
    <w:rsid w:val="001B6FBA"/>
    <w:rsid w:val="001B7F17"/>
    <w:rsid w:val="001C076D"/>
    <w:rsid w:val="001C1326"/>
    <w:rsid w:val="001C1D19"/>
    <w:rsid w:val="001C3122"/>
    <w:rsid w:val="001C42B2"/>
    <w:rsid w:val="001C7340"/>
    <w:rsid w:val="001D032C"/>
    <w:rsid w:val="001D0AE7"/>
    <w:rsid w:val="001D1D8E"/>
    <w:rsid w:val="001D2323"/>
    <w:rsid w:val="001D43AF"/>
    <w:rsid w:val="001D50E9"/>
    <w:rsid w:val="001D51FB"/>
    <w:rsid w:val="001D5B26"/>
    <w:rsid w:val="001D5BE0"/>
    <w:rsid w:val="001D6E33"/>
    <w:rsid w:val="001D6F0B"/>
    <w:rsid w:val="001E218B"/>
    <w:rsid w:val="001E2EEE"/>
    <w:rsid w:val="001E3107"/>
    <w:rsid w:val="001E318D"/>
    <w:rsid w:val="001E329D"/>
    <w:rsid w:val="001E390E"/>
    <w:rsid w:val="001E67B4"/>
    <w:rsid w:val="001F0FB6"/>
    <w:rsid w:val="001F36F9"/>
    <w:rsid w:val="001F3A57"/>
    <w:rsid w:val="001F550F"/>
    <w:rsid w:val="001F7EA7"/>
    <w:rsid w:val="00200173"/>
    <w:rsid w:val="00200F87"/>
    <w:rsid w:val="002019FE"/>
    <w:rsid w:val="0020377B"/>
    <w:rsid w:val="00204C24"/>
    <w:rsid w:val="0020503C"/>
    <w:rsid w:val="0020583D"/>
    <w:rsid w:val="0020609D"/>
    <w:rsid w:val="00206CFB"/>
    <w:rsid w:val="00207257"/>
    <w:rsid w:val="00207322"/>
    <w:rsid w:val="0021040B"/>
    <w:rsid w:val="00212568"/>
    <w:rsid w:val="00213133"/>
    <w:rsid w:val="002137DD"/>
    <w:rsid w:val="00213907"/>
    <w:rsid w:val="00214F03"/>
    <w:rsid w:val="0021508A"/>
    <w:rsid w:val="0021514D"/>
    <w:rsid w:val="002152B7"/>
    <w:rsid w:val="002163A6"/>
    <w:rsid w:val="00216941"/>
    <w:rsid w:val="00217037"/>
    <w:rsid w:val="00217B32"/>
    <w:rsid w:val="00220BC3"/>
    <w:rsid w:val="00222448"/>
    <w:rsid w:val="00222B61"/>
    <w:rsid w:val="0022407A"/>
    <w:rsid w:val="002244B2"/>
    <w:rsid w:val="002248E0"/>
    <w:rsid w:val="00224BE4"/>
    <w:rsid w:val="0022726E"/>
    <w:rsid w:val="00231076"/>
    <w:rsid w:val="0023200F"/>
    <w:rsid w:val="00232BC0"/>
    <w:rsid w:val="00232D53"/>
    <w:rsid w:val="0023409F"/>
    <w:rsid w:val="00234EAE"/>
    <w:rsid w:val="00235FE1"/>
    <w:rsid w:val="00236EE7"/>
    <w:rsid w:val="00237334"/>
    <w:rsid w:val="0023795A"/>
    <w:rsid w:val="00240DC1"/>
    <w:rsid w:val="002427A0"/>
    <w:rsid w:val="0024367C"/>
    <w:rsid w:val="00243AAC"/>
    <w:rsid w:val="00244CA3"/>
    <w:rsid w:val="00245684"/>
    <w:rsid w:val="00245B00"/>
    <w:rsid w:val="00245C4D"/>
    <w:rsid w:val="00246F38"/>
    <w:rsid w:val="002472A2"/>
    <w:rsid w:val="00250119"/>
    <w:rsid w:val="0025311F"/>
    <w:rsid w:val="0025407F"/>
    <w:rsid w:val="00254423"/>
    <w:rsid w:val="00254FEE"/>
    <w:rsid w:val="00255F65"/>
    <w:rsid w:val="00260748"/>
    <w:rsid w:val="00260E64"/>
    <w:rsid w:val="00262947"/>
    <w:rsid w:val="00262CA5"/>
    <w:rsid w:val="00263DB2"/>
    <w:rsid w:val="002655D6"/>
    <w:rsid w:val="002703FE"/>
    <w:rsid w:val="002706FC"/>
    <w:rsid w:val="0027112E"/>
    <w:rsid w:val="00271B47"/>
    <w:rsid w:val="00274A5B"/>
    <w:rsid w:val="00274E8F"/>
    <w:rsid w:val="0027553B"/>
    <w:rsid w:val="002760D4"/>
    <w:rsid w:val="00276B92"/>
    <w:rsid w:val="00277C1D"/>
    <w:rsid w:val="00277E89"/>
    <w:rsid w:val="00282761"/>
    <w:rsid w:val="002827F4"/>
    <w:rsid w:val="00284C91"/>
    <w:rsid w:val="00290A72"/>
    <w:rsid w:val="00291654"/>
    <w:rsid w:val="00292B10"/>
    <w:rsid w:val="00292F5B"/>
    <w:rsid w:val="00294849"/>
    <w:rsid w:val="002949A6"/>
    <w:rsid w:val="002972F2"/>
    <w:rsid w:val="00297B86"/>
    <w:rsid w:val="002A2B15"/>
    <w:rsid w:val="002A2F13"/>
    <w:rsid w:val="002A3B71"/>
    <w:rsid w:val="002A3C8F"/>
    <w:rsid w:val="002A3FE8"/>
    <w:rsid w:val="002A40F2"/>
    <w:rsid w:val="002A47E9"/>
    <w:rsid w:val="002A4C51"/>
    <w:rsid w:val="002A6C31"/>
    <w:rsid w:val="002A6F3F"/>
    <w:rsid w:val="002A7115"/>
    <w:rsid w:val="002A75A9"/>
    <w:rsid w:val="002B03C0"/>
    <w:rsid w:val="002B1950"/>
    <w:rsid w:val="002B38F6"/>
    <w:rsid w:val="002B42E1"/>
    <w:rsid w:val="002B60CF"/>
    <w:rsid w:val="002B727A"/>
    <w:rsid w:val="002C0A15"/>
    <w:rsid w:val="002C0E48"/>
    <w:rsid w:val="002C1AC1"/>
    <w:rsid w:val="002C4561"/>
    <w:rsid w:val="002C4F42"/>
    <w:rsid w:val="002C5209"/>
    <w:rsid w:val="002C558E"/>
    <w:rsid w:val="002D038A"/>
    <w:rsid w:val="002D19F9"/>
    <w:rsid w:val="002D2684"/>
    <w:rsid w:val="002D2AC3"/>
    <w:rsid w:val="002D325C"/>
    <w:rsid w:val="002D34B9"/>
    <w:rsid w:val="002D37BC"/>
    <w:rsid w:val="002D4968"/>
    <w:rsid w:val="002D5212"/>
    <w:rsid w:val="002D53A1"/>
    <w:rsid w:val="002D56DC"/>
    <w:rsid w:val="002D583E"/>
    <w:rsid w:val="002D635B"/>
    <w:rsid w:val="002E0766"/>
    <w:rsid w:val="002E1E4D"/>
    <w:rsid w:val="002E2CAB"/>
    <w:rsid w:val="002E6E57"/>
    <w:rsid w:val="002E6E80"/>
    <w:rsid w:val="002F01D7"/>
    <w:rsid w:val="002F1809"/>
    <w:rsid w:val="002F1AEA"/>
    <w:rsid w:val="002F76C6"/>
    <w:rsid w:val="003007A1"/>
    <w:rsid w:val="00300A30"/>
    <w:rsid w:val="00300EF0"/>
    <w:rsid w:val="00302395"/>
    <w:rsid w:val="00303E1E"/>
    <w:rsid w:val="00304065"/>
    <w:rsid w:val="00304DF4"/>
    <w:rsid w:val="00304E35"/>
    <w:rsid w:val="00305200"/>
    <w:rsid w:val="003052AC"/>
    <w:rsid w:val="00306138"/>
    <w:rsid w:val="003077FC"/>
    <w:rsid w:val="00310E1C"/>
    <w:rsid w:val="00311E28"/>
    <w:rsid w:val="00314327"/>
    <w:rsid w:val="00314774"/>
    <w:rsid w:val="0031549A"/>
    <w:rsid w:val="00315F29"/>
    <w:rsid w:val="003164C9"/>
    <w:rsid w:val="00316BFE"/>
    <w:rsid w:val="00317DB0"/>
    <w:rsid w:val="0032014B"/>
    <w:rsid w:val="003210EF"/>
    <w:rsid w:val="00321A2E"/>
    <w:rsid w:val="00322353"/>
    <w:rsid w:val="003226EB"/>
    <w:rsid w:val="003233A6"/>
    <w:rsid w:val="003261C5"/>
    <w:rsid w:val="003266A4"/>
    <w:rsid w:val="00326D2A"/>
    <w:rsid w:val="003272F5"/>
    <w:rsid w:val="00327A22"/>
    <w:rsid w:val="00327FDF"/>
    <w:rsid w:val="00332ACA"/>
    <w:rsid w:val="00336F1B"/>
    <w:rsid w:val="00336F2C"/>
    <w:rsid w:val="00337037"/>
    <w:rsid w:val="00340271"/>
    <w:rsid w:val="00340BCC"/>
    <w:rsid w:val="003410EB"/>
    <w:rsid w:val="0034298B"/>
    <w:rsid w:val="00343115"/>
    <w:rsid w:val="00344194"/>
    <w:rsid w:val="00344EEA"/>
    <w:rsid w:val="00345310"/>
    <w:rsid w:val="00346006"/>
    <w:rsid w:val="00347B8D"/>
    <w:rsid w:val="00350418"/>
    <w:rsid w:val="00351A43"/>
    <w:rsid w:val="00352806"/>
    <w:rsid w:val="0035396F"/>
    <w:rsid w:val="003543F8"/>
    <w:rsid w:val="0035440E"/>
    <w:rsid w:val="00356035"/>
    <w:rsid w:val="00357DE2"/>
    <w:rsid w:val="00360666"/>
    <w:rsid w:val="003611EE"/>
    <w:rsid w:val="003615F1"/>
    <w:rsid w:val="00362800"/>
    <w:rsid w:val="00363CD9"/>
    <w:rsid w:val="003643AF"/>
    <w:rsid w:val="00364C13"/>
    <w:rsid w:val="00366C12"/>
    <w:rsid w:val="00366EA7"/>
    <w:rsid w:val="00367841"/>
    <w:rsid w:val="00370B82"/>
    <w:rsid w:val="00371C10"/>
    <w:rsid w:val="00371FE0"/>
    <w:rsid w:val="0037220E"/>
    <w:rsid w:val="00372E5B"/>
    <w:rsid w:val="00373885"/>
    <w:rsid w:val="00374DB5"/>
    <w:rsid w:val="00376BC0"/>
    <w:rsid w:val="00381677"/>
    <w:rsid w:val="0038184B"/>
    <w:rsid w:val="00383AED"/>
    <w:rsid w:val="00385255"/>
    <w:rsid w:val="00385F37"/>
    <w:rsid w:val="00386055"/>
    <w:rsid w:val="00386073"/>
    <w:rsid w:val="003923AE"/>
    <w:rsid w:val="00393038"/>
    <w:rsid w:val="00393D7C"/>
    <w:rsid w:val="00394D04"/>
    <w:rsid w:val="00397855"/>
    <w:rsid w:val="00397D12"/>
    <w:rsid w:val="003A050F"/>
    <w:rsid w:val="003A1667"/>
    <w:rsid w:val="003A2000"/>
    <w:rsid w:val="003A25BF"/>
    <w:rsid w:val="003A25DB"/>
    <w:rsid w:val="003A3923"/>
    <w:rsid w:val="003B195C"/>
    <w:rsid w:val="003B1D87"/>
    <w:rsid w:val="003B4370"/>
    <w:rsid w:val="003B603E"/>
    <w:rsid w:val="003C2260"/>
    <w:rsid w:val="003C2C83"/>
    <w:rsid w:val="003C2D31"/>
    <w:rsid w:val="003C2F50"/>
    <w:rsid w:val="003C3A54"/>
    <w:rsid w:val="003C4D98"/>
    <w:rsid w:val="003C53CE"/>
    <w:rsid w:val="003C6070"/>
    <w:rsid w:val="003C7DE1"/>
    <w:rsid w:val="003D089F"/>
    <w:rsid w:val="003D2336"/>
    <w:rsid w:val="003D3779"/>
    <w:rsid w:val="003D3D65"/>
    <w:rsid w:val="003D492A"/>
    <w:rsid w:val="003D5CBF"/>
    <w:rsid w:val="003D6BED"/>
    <w:rsid w:val="003D6DE3"/>
    <w:rsid w:val="003D7B28"/>
    <w:rsid w:val="003E02D4"/>
    <w:rsid w:val="003E06F6"/>
    <w:rsid w:val="003E13BA"/>
    <w:rsid w:val="003E1BAE"/>
    <w:rsid w:val="003E2677"/>
    <w:rsid w:val="003E2D9E"/>
    <w:rsid w:val="003E3773"/>
    <w:rsid w:val="003E49C4"/>
    <w:rsid w:val="003E5E65"/>
    <w:rsid w:val="003E63F8"/>
    <w:rsid w:val="003E645F"/>
    <w:rsid w:val="003E653B"/>
    <w:rsid w:val="003E780C"/>
    <w:rsid w:val="003F0B11"/>
    <w:rsid w:val="003F1DE5"/>
    <w:rsid w:val="003F1EE9"/>
    <w:rsid w:val="003F22E4"/>
    <w:rsid w:val="003F2CDA"/>
    <w:rsid w:val="003F4FCB"/>
    <w:rsid w:val="003F52F8"/>
    <w:rsid w:val="003F583F"/>
    <w:rsid w:val="003F5DBA"/>
    <w:rsid w:val="003F6486"/>
    <w:rsid w:val="003F64FD"/>
    <w:rsid w:val="003F793D"/>
    <w:rsid w:val="003F7AA8"/>
    <w:rsid w:val="0040055B"/>
    <w:rsid w:val="00400809"/>
    <w:rsid w:val="0040203B"/>
    <w:rsid w:val="004029D0"/>
    <w:rsid w:val="00404876"/>
    <w:rsid w:val="00404FE3"/>
    <w:rsid w:val="0041009E"/>
    <w:rsid w:val="00411698"/>
    <w:rsid w:val="00411CD9"/>
    <w:rsid w:val="004120EE"/>
    <w:rsid w:val="00413901"/>
    <w:rsid w:val="004155A1"/>
    <w:rsid w:val="004158C4"/>
    <w:rsid w:val="0041604C"/>
    <w:rsid w:val="00416683"/>
    <w:rsid w:val="00417072"/>
    <w:rsid w:val="00417F55"/>
    <w:rsid w:val="004222AB"/>
    <w:rsid w:val="00424449"/>
    <w:rsid w:val="00427B0B"/>
    <w:rsid w:val="00430149"/>
    <w:rsid w:val="00430559"/>
    <w:rsid w:val="0043102B"/>
    <w:rsid w:val="00432242"/>
    <w:rsid w:val="00432277"/>
    <w:rsid w:val="00432A5E"/>
    <w:rsid w:val="00432A8E"/>
    <w:rsid w:val="00433150"/>
    <w:rsid w:val="004332B6"/>
    <w:rsid w:val="004332B8"/>
    <w:rsid w:val="0043389F"/>
    <w:rsid w:val="00433AA8"/>
    <w:rsid w:val="00435E1C"/>
    <w:rsid w:val="004370C8"/>
    <w:rsid w:val="00437A22"/>
    <w:rsid w:val="00437EAA"/>
    <w:rsid w:val="00440A41"/>
    <w:rsid w:val="0044143E"/>
    <w:rsid w:val="00441F01"/>
    <w:rsid w:val="00441F30"/>
    <w:rsid w:val="004426B3"/>
    <w:rsid w:val="00444554"/>
    <w:rsid w:val="00444828"/>
    <w:rsid w:val="0044520C"/>
    <w:rsid w:val="00445D21"/>
    <w:rsid w:val="0044616C"/>
    <w:rsid w:val="0044621A"/>
    <w:rsid w:val="00446513"/>
    <w:rsid w:val="004468C9"/>
    <w:rsid w:val="004476D3"/>
    <w:rsid w:val="00450AF1"/>
    <w:rsid w:val="0045112E"/>
    <w:rsid w:val="00461929"/>
    <w:rsid w:val="0046243F"/>
    <w:rsid w:val="00462BCF"/>
    <w:rsid w:val="0046315D"/>
    <w:rsid w:val="004649E3"/>
    <w:rsid w:val="00465360"/>
    <w:rsid w:val="004656FC"/>
    <w:rsid w:val="0046600C"/>
    <w:rsid w:val="00466C06"/>
    <w:rsid w:val="0046760D"/>
    <w:rsid w:val="00471076"/>
    <w:rsid w:val="0047131A"/>
    <w:rsid w:val="004718A6"/>
    <w:rsid w:val="004719B6"/>
    <w:rsid w:val="00472EE2"/>
    <w:rsid w:val="004739C8"/>
    <w:rsid w:val="00473E67"/>
    <w:rsid w:val="004754CC"/>
    <w:rsid w:val="00475965"/>
    <w:rsid w:val="0048077B"/>
    <w:rsid w:val="00481630"/>
    <w:rsid w:val="00481F4E"/>
    <w:rsid w:val="00482D22"/>
    <w:rsid w:val="00483E51"/>
    <w:rsid w:val="00483F66"/>
    <w:rsid w:val="0048416E"/>
    <w:rsid w:val="0048583F"/>
    <w:rsid w:val="00492B4E"/>
    <w:rsid w:val="00494DAD"/>
    <w:rsid w:val="00494F13"/>
    <w:rsid w:val="004950C8"/>
    <w:rsid w:val="00495860"/>
    <w:rsid w:val="00495E90"/>
    <w:rsid w:val="004963C8"/>
    <w:rsid w:val="00496517"/>
    <w:rsid w:val="004A105B"/>
    <w:rsid w:val="004A1B52"/>
    <w:rsid w:val="004A3762"/>
    <w:rsid w:val="004A4089"/>
    <w:rsid w:val="004A40B2"/>
    <w:rsid w:val="004B017F"/>
    <w:rsid w:val="004B20FC"/>
    <w:rsid w:val="004B2844"/>
    <w:rsid w:val="004B2900"/>
    <w:rsid w:val="004B3687"/>
    <w:rsid w:val="004B44B6"/>
    <w:rsid w:val="004B4A09"/>
    <w:rsid w:val="004B4CBB"/>
    <w:rsid w:val="004B5C03"/>
    <w:rsid w:val="004B78EF"/>
    <w:rsid w:val="004B7E40"/>
    <w:rsid w:val="004C2667"/>
    <w:rsid w:val="004C5790"/>
    <w:rsid w:val="004C7F59"/>
    <w:rsid w:val="004D39D8"/>
    <w:rsid w:val="004D41F9"/>
    <w:rsid w:val="004D57C7"/>
    <w:rsid w:val="004D5DC7"/>
    <w:rsid w:val="004D626C"/>
    <w:rsid w:val="004D6A96"/>
    <w:rsid w:val="004D76DC"/>
    <w:rsid w:val="004D7E4C"/>
    <w:rsid w:val="004E0B88"/>
    <w:rsid w:val="004E1691"/>
    <w:rsid w:val="004E1790"/>
    <w:rsid w:val="004E2E60"/>
    <w:rsid w:val="004E4BA6"/>
    <w:rsid w:val="004E7CF2"/>
    <w:rsid w:val="004E7D9D"/>
    <w:rsid w:val="004F0D9B"/>
    <w:rsid w:val="004F0E56"/>
    <w:rsid w:val="004F1761"/>
    <w:rsid w:val="004F1950"/>
    <w:rsid w:val="004F23CF"/>
    <w:rsid w:val="004F2425"/>
    <w:rsid w:val="004F3481"/>
    <w:rsid w:val="004F3D08"/>
    <w:rsid w:val="004F4341"/>
    <w:rsid w:val="004F434A"/>
    <w:rsid w:val="004F5B9A"/>
    <w:rsid w:val="004F6881"/>
    <w:rsid w:val="004F6D8A"/>
    <w:rsid w:val="004F6FCB"/>
    <w:rsid w:val="005000FF"/>
    <w:rsid w:val="00501661"/>
    <w:rsid w:val="005024E6"/>
    <w:rsid w:val="00502509"/>
    <w:rsid w:val="00505BE8"/>
    <w:rsid w:val="00505EB5"/>
    <w:rsid w:val="00512958"/>
    <w:rsid w:val="00512CA8"/>
    <w:rsid w:val="00513276"/>
    <w:rsid w:val="005148CC"/>
    <w:rsid w:val="00515538"/>
    <w:rsid w:val="00515907"/>
    <w:rsid w:val="005166AF"/>
    <w:rsid w:val="00516B28"/>
    <w:rsid w:val="00516F29"/>
    <w:rsid w:val="00520453"/>
    <w:rsid w:val="00520ECA"/>
    <w:rsid w:val="00520EF7"/>
    <w:rsid w:val="00521CC5"/>
    <w:rsid w:val="0052234C"/>
    <w:rsid w:val="0052437E"/>
    <w:rsid w:val="00525F77"/>
    <w:rsid w:val="005262B1"/>
    <w:rsid w:val="0052691E"/>
    <w:rsid w:val="00527638"/>
    <w:rsid w:val="005279D0"/>
    <w:rsid w:val="00527A58"/>
    <w:rsid w:val="00527E8C"/>
    <w:rsid w:val="00530892"/>
    <w:rsid w:val="005308D4"/>
    <w:rsid w:val="00531022"/>
    <w:rsid w:val="0053143C"/>
    <w:rsid w:val="005314A3"/>
    <w:rsid w:val="00533534"/>
    <w:rsid w:val="00535721"/>
    <w:rsid w:val="00537B72"/>
    <w:rsid w:val="00537B7A"/>
    <w:rsid w:val="00541A18"/>
    <w:rsid w:val="00544C46"/>
    <w:rsid w:val="00545873"/>
    <w:rsid w:val="00547165"/>
    <w:rsid w:val="00551408"/>
    <w:rsid w:val="005515E0"/>
    <w:rsid w:val="00552C53"/>
    <w:rsid w:val="00552F8C"/>
    <w:rsid w:val="00555F88"/>
    <w:rsid w:val="005565B8"/>
    <w:rsid w:val="005568B2"/>
    <w:rsid w:val="00560D7D"/>
    <w:rsid w:val="00561437"/>
    <w:rsid w:val="0056340B"/>
    <w:rsid w:val="005635EA"/>
    <w:rsid w:val="005642D4"/>
    <w:rsid w:val="005644D4"/>
    <w:rsid w:val="00566042"/>
    <w:rsid w:val="00566789"/>
    <w:rsid w:val="00571EF0"/>
    <w:rsid w:val="0057220A"/>
    <w:rsid w:val="005751A3"/>
    <w:rsid w:val="00575D4A"/>
    <w:rsid w:val="005765C6"/>
    <w:rsid w:val="00576A47"/>
    <w:rsid w:val="00576DD9"/>
    <w:rsid w:val="00576E1E"/>
    <w:rsid w:val="00577209"/>
    <w:rsid w:val="00577505"/>
    <w:rsid w:val="00577B4A"/>
    <w:rsid w:val="00580259"/>
    <w:rsid w:val="005808C3"/>
    <w:rsid w:val="00581164"/>
    <w:rsid w:val="0058328D"/>
    <w:rsid w:val="005835B2"/>
    <w:rsid w:val="00583F04"/>
    <w:rsid w:val="00585E58"/>
    <w:rsid w:val="005867BB"/>
    <w:rsid w:val="0058781D"/>
    <w:rsid w:val="00590BCF"/>
    <w:rsid w:val="00591D89"/>
    <w:rsid w:val="00592CAA"/>
    <w:rsid w:val="0059595A"/>
    <w:rsid w:val="00595A3D"/>
    <w:rsid w:val="00596F3A"/>
    <w:rsid w:val="005976FF"/>
    <w:rsid w:val="005A055C"/>
    <w:rsid w:val="005A1D0E"/>
    <w:rsid w:val="005A30C6"/>
    <w:rsid w:val="005A4055"/>
    <w:rsid w:val="005A5AC0"/>
    <w:rsid w:val="005A6191"/>
    <w:rsid w:val="005A6C66"/>
    <w:rsid w:val="005A72B9"/>
    <w:rsid w:val="005B0029"/>
    <w:rsid w:val="005B0FC1"/>
    <w:rsid w:val="005B2F3E"/>
    <w:rsid w:val="005B47A8"/>
    <w:rsid w:val="005B48B0"/>
    <w:rsid w:val="005B4B0D"/>
    <w:rsid w:val="005B5E17"/>
    <w:rsid w:val="005B75A4"/>
    <w:rsid w:val="005C016D"/>
    <w:rsid w:val="005C0F2C"/>
    <w:rsid w:val="005C2107"/>
    <w:rsid w:val="005C2395"/>
    <w:rsid w:val="005C249D"/>
    <w:rsid w:val="005C3ADD"/>
    <w:rsid w:val="005C4CEA"/>
    <w:rsid w:val="005C5133"/>
    <w:rsid w:val="005C5DC4"/>
    <w:rsid w:val="005C67D7"/>
    <w:rsid w:val="005C70DC"/>
    <w:rsid w:val="005C71F5"/>
    <w:rsid w:val="005D0C39"/>
    <w:rsid w:val="005D2257"/>
    <w:rsid w:val="005D31BB"/>
    <w:rsid w:val="005D3A4E"/>
    <w:rsid w:val="005D5B9D"/>
    <w:rsid w:val="005D6176"/>
    <w:rsid w:val="005D63B8"/>
    <w:rsid w:val="005E02D1"/>
    <w:rsid w:val="005E060D"/>
    <w:rsid w:val="005E0F11"/>
    <w:rsid w:val="005E1051"/>
    <w:rsid w:val="005E2487"/>
    <w:rsid w:val="005E38B5"/>
    <w:rsid w:val="005F0A70"/>
    <w:rsid w:val="005F1B05"/>
    <w:rsid w:val="005F1F5C"/>
    <w:rsid w:val="005F20E3"/>
    <w:rsid w:val="005F28DD"/>
    <w:rsid w:val="005F2C2D"/>
    <w:rsid w:val="005F3844"/>
    <w:rsid w:val="005F3A4B"/>
    <w:rsid w:val="005F3B95"/>
    <w:rsid w:val="005F53BC"/>
    <w:rsid w:val="005F759A"/>
    <w:rsid w:val="005F7B1D"/>
    <w:rsid w:val="0060207A"/>
    <w:rsid w:val="00603055"/>
    <w:rsid w:val="0060393B"/>
    <w:rsid w:val="00603AE1"/>
    <w:rsid w:val="006055A5"/>
    <w:rsid w:val="006061B1"/>
    <w:rsid w:val="006063DF"/>
    <w:rsid w:val="00607852"/>
    <w:rsid w:val="0061360C"/>
    <w:rsid w:val="00614AC0"/>
    <w:rsid w:val="00616799"/>
    <w:rsid w:val="00616EB0"/>
    <w:rsid w:val="00621D85"/>
    <w:rsid w:val="0062216C"/>
    <w:rsid w:val="0062353D"/>
    <w:rsid w:val="00623DB8"/>
    <w:rsid w:val="0062409C"/>
    <w:rsid w:val="0062511E"/>
    <w:rsid w:val="006268C9"/>
    <w:rsid w:val="0062703C"/>
    <w:rsid w:val="006310F3"/>
    <w:rsid w:val="0063199D"/>
    <w:rsid w:val="00631B23"/>
    <w:rsid w:val="006326A7"/>
    <w:rsid w:val="00634A90"/>
    <w:rsid w:val="00634D0D"/>
    <w:rsid w:val="00636330"/>
    <w:rsid w:val="00636C22"/>
    <w:rsid w:val="00640068"/>
    <w:rsid w:val="006403A6"/>
    <w:rsid w:val="00640592"/>
    <w:rsid w:val="006411AA"/>
    <w:rsid w:val="006413AB"/>
    <w:rsid w:val="0064171A"/>
    <w:rsid w:val="0064194E"/>
    <w:rsid w:val="00641F83"/>
    <w:rsid w:val="00642697"/>
    <w:rsid w:val="00642A44"/>
    <w:rsid w:val="0064408C"/>
    <w:rsid w:val="0064430F"/>
    <w:rsid w:val="00645659"/>
    <w:rsid w:val="0064666C"/>
    <w:rsid w:val="00647346"/>
    <w:rsid w:val="00650960"/>
    <w:rsid w:val="00651A62"/>
    <w:rsid w:val="00651A63"/>
    <w:rsid w:val="00654554"/>
    <w:rsid w:val="00655027"/>
    <w:rsid w:val="0065538A"/>
    <w:rsid w:val="00655522"/>
    <w:rsid w:val="006556E5"/>
    <w:rsid w:val="0066024B"/>
    <w:rsid w:val="006634C7"/>
    <w:rsid w:val="0066355C"/>
    <w:rsid w:val="00663755"/>
    <w:rsid w:val="0066490A"/>
    <w:rsid w:val="00666747"/>
    <w:rsid w:val="00666816"/>
    <w:rsid w:val="0066701A"/>
    <w:rsid w:val="00671894"/>
    <w:rsid w:val="00672247"/>
    <w:rsid w:val="006730BC"/>
    <w:rsid w:val="0067381D"/>
    <w:rsid w:val="00673E8A"/>
    <w:rsid w:val="006754B7"/>
    <w:rsid w:val="006765AB"/>
    <w:rsid w:val="00676ED7"/>
    <w:rsid w:val="006772D2"/>
    <w:rsid w:val="00680037"/>
    <w:rsid w:val="0068034F"/>
    <w:rsid w:val="0068107A"/>
    <w:rsid w:val="006814C8"/>
    <w:rsid w:val="00681DB9"/>
    <w:rsid w:val="00681E63"/>
    <w:rsid w:val="00683560"/>
    <w:rsid w:val="0068496D"/>
    <w:rsid w:val="006858F9"/>
    <w:rsid w:val="006871D0"/>
    <w:rsid w:val="0068762C"/>
    <w:rsid w:val="00690A8C"/>
    <w:rsid w:val="006916FE"/>
    <w:rsid w:val="0069356B"/>
    <w:rsid w:val="00695033"/>
    <w:rsid w:val="00696114"/>
    <w:rsid w:val="006964BD"/>
    <w:rsid w:val="00696A4D"/>
    <w:rsid w:val="00696C6A"/>
    <w:rsid w:val="006A0071"/>
    <w:rsid w:val="006A1647"/>
    <w:rsid w:val="006A2403"/>
    <w:rsid w:val="006A4FA2"/>
    <w:rsid w:val="006A5232"/>
    <w:rsid w:val="006A7D30"/>
    <w:rsid w:val="006A7EB8"/>
    <w:rsid w:val="006B023B"/>
    <w:rsid w:val="006B06F8"/>
    <w:rsid w:val="006B2462"/>
    <w:rsid w:val="006B2C53"/>
    <w:rsid w:val="006C0D31"/>
    <w:rsid w:val="006C0D78"/>
    <w:rsid w:val="006C1084"/>
    <w:rsid w:val="006C153A"/>
    <w:rsid w:val="006C2795"/>
    <w:rsid w:val="006C4115"/>
    <w:rsid w:val="006C5F5C"/>
    <w:rsid w:val="006C66D3"/>
    <w:rsid w:val="006C7815"/>
    <w:rsid w:val="006D1918"/>
    <w:rsid w:val="006D4486"/>
    <w:rsid w:val="006D5472"/>
    <w:rsid w:val="006E07C7"/>
    <w:rsid w:val="006E0FC8"/>
    <w:rsid w:val="006E23EC"/>
    <w:rsid w:val="006E28CD"/>
    <w:rsid w:val="006E3125"/>
    <w:rsid w:val="006E326F"/>
    <w:rsid w:val="006E6050"/>
    <w:rsid w:val="006E6644"/>
    <w:rsid w:val="006E70A4"/>
    <w:rsid w:val="006F1419"/>
    <w:rsid w:val="006F2C2D"/>
    <w:rsid w:val="006F2DA3"/>
    <w:rsid w:val="006F3331"/>
    <w:rsid w:val="006F338A"/>
    <w:rsid w:val="006F4095"/>
    <w:rsid w:val="006F564F"/>
    <w:rsid w:val="006F663B"/>
    <w:rsid w:val="006F785C"/>
    <w:rsid w:val="006F7C41"/>
    <w:rsid w:val="00701339"/>
    <w:rsid w:val="007054DB"/>
    <w:rsid w:val="007062DC"/>
    <w:rsid w:val="00706A72"/>
    <w:rsid w:val="00706CFF"/>
    <w:rsid w:val="00707578"/>
    <w:rsid w:val="00707B47"/>
    <w:rsid w:val="00710EDE"/>
    <w:rsid w:val="0071166F"/>
    <w:rsid w:val="007123AA"/>
    <w:rsid w:val="007130C2"/>
    <w:rsid w:val="007133AE"/>
    <w:rsid w:val="00714266"/>
    <w:rsid w:val="00714D3D"/>
    <w:rsid w:val="0071766F"/>
    <w:rsid w:val="00720EE0"/>
    <w:rsid w:val="007216DD"/>
    <w:rsid w:val="007221C3"/>
    <w:rsid w:val="007230BA"/>
    <w:rsid w:val="007247CB"/>
    <w:rsid w:val="00724949"/>
    <w:rsid w:val="00724A8F"/>
    <w:rsid w:val="00724DC0"/>
    <w:rsid w:val="00727F2F"/>
    <w:rsid w:val="00730CA8"/>
    <w:rsid w:val="00731107"/>
    <w:rsid w:val="00733899"/>
    <w:rsid w:val="00733B56"/>
    <w:rsid w:val="007349AF"/>
    <w:rsid w:val="00734F34"/>
    <w:rsid w:val="00735EF1"/>
    <w:rsid w:val="00742215"/>
    <w:rsid w:val="00744F64"/>
    <w:rsid w:val="0074547B"/>
    <w:rsid w:val="0074605B"/>
    <w:rsid w:val="0074702F"/>
    <w:rsid w:val="007510B2"/>
    <w:rsid w:val="00753E58"/>
    <w:rsid w:val="0075404F"/>
    <w:rsid w:val="00755D8E"/>
    <w:rsid w:val="007560D3"/>
    <w:rsid w:val="007571BF"/>
    <w:rsid w:val="00760A9B"/>
    <w:rsid w:val="00761476"/>
    <w:rsid w:val="00761F86"/>
    <w:rsid w:val="00764408"/>
    <w:rsid w:val="007644C1"/>
    <w:rsid w:val="007650DD"/>
    <w:rsid w:val="00765345"/>
    <w:rsid w:val="00765C17"/>
    <w:rsid w:val="007662EB"/>
    <w:rsid w:val="00767E89"/>
    <w:rsid w:val="0077080B"/>
    <w:rsid w:val="0077404C"/>
    <w:rsid w:val="007752E5"/>
    <w:rsid w:val="007756B6"/>
    <w:rsid w:val="00776746"/>
    <w:rsid w:val="00776E3F"/>
    <w:rsid w:val="00780362"/>
    <w:rsid w:val="00780CD4"/>
    <w:rsid w:val="00783C4F"/>
    <w:rsid w:val="00784716"/>
    <w:rsid w:val="00785204"/>
    <w:rsid w:val="0078765E"/>
    <w:rsid w:val="00791B29"/>
    <w:rsid w:val="00791B55"/>
    <w:rsid w:val="00792A82"/>
    <w:rsid w:val="007937BF"/>
    <w:rsid w:val="00794199"/>
    <w:rsid w:val="00794B5F"/>
    <w:rsid w:val="00796878"/>
    <w:rsid w:val="0079768B"/>
    <w:rsid w:val="007A0FE2"/>
    <w:rsid w:val="007A1623"/>
    <w:rsid w:val="007A2344"/>
    <w:rsid w:val="007A2CC5"/>
    <w:rsid w:val="007A2F87"/>
    <w:rsid w:val="007A3164"/>
    <w:rsid w:val="007A4CE3"/>
    <w:rsid w:val="007A4DC8"/>
    <w:rsid w:val="007A535E"/>
    <w:rsid w:val="007B6AE8"/>
    <w:rsid w:val="007B6C31"/>
    <w:rsid w:val="007B7DC4"/>
    <w:rsid w:val="007C21EF"/>
    <w:rsid w:val="007C2422"/>
    <w:rsid w:val="007C4D73"/>
    <w:rsid w:val="007C5842"/>
    <w:rsid w:val="007C6EC4"/>
    <w:rsid w:val="007C7A6F"/>
    <w:rsid w:val="007D020B"/>
    <w:rsid w:val="007D0BF1"/>
    <w:rsid w:val="007D26AC"/>
    <w:rsid w:val="007D2F5D"/>
    <w:rsid w:val="007D30ED"/>
    <w:rsid w:val="007D388E"/>
    <w:rsid w:val="007D3A27"/>
    <w:rsid w:val="007D4C5E"/>
    <w:rsid w:val="007D61D3"/>
    <w:rsid w:val="007D627E"/>
    <w:rsid w:val="007D7280"/>
    <w:rsid w:val="007E1124"/>
    <w:rsid w:val="007E1DF4"/>
    <w:rsid w:val="007E2289"/>
    <w:rsid w:val="007E3959"/>
    <w:rsid w:val="007E42F6"/>
    <w:rsid w:val="007E463F"/>
    <w:rsid w:val="007E4F5E"/>
    <w:rsid w:val="007E532A"/>
    <w:rsid w:val="007E5651"/>
    <w:rsid w:val="007E5AF6"/>
    <w:rsid w:val="007E5FFA"/>
    <w:rsid w:val="007E689B"/>
    <w:rsid w:val="007F084C"/>
    <w:rsid w:val="007F0EBB"/>
    <w:rsid w:val="007F1888"/>
    <w:rsid w:val="007F2105"/>
    <w:rsid w:val="007F22F1"/>
    <w:rsid w:val="007F3095"/>
    <w:rsid w:val="007F4689"/>
    <w:rsid w:val="007F472A"/>
    <w:rsid w:val="007F4C16"/>
    <w:rsid w:val="007F6E43"/>
    <w:rsid w:val="007F7194"/>
    <w:rsid w:val="007F757A"/>
    <w:rsid w:val="007F7B5B"/>
    <w:rsid w:val="007F7F4B"/>
    <w:rsid w:val="00801107"/>
    <w:rsid w:val="00802933"/>
    <w:rsid w:val="0080342E"/>
    <w:rsid w:val="008067B0"/>
    <w:rsid w:val="00806ABF"/>
    <w:rsid w:val="00807767"/>
    <w:rsid w:val="00810181"/>
    <w:rsid w:val="0081092C"/>
    <w:rsid w:val="00810C1B"/>
    <w:rsid w:val="008139B4"/>
    <w:rsid w:val="008141D8"/>
    <w:rsid w:val="008154E3"/>
    <w:rsid w:val="008159B1"/>
    <w:rsid w:val="00815F7A"/>
    <w:rsid w:val="00817D71"/>
    <w:rsid w:val="00821088"/>
    <w:rsid w:val="00821F7B"/>
    <w:rsid w:val="00822201"/>
    <w:rsid w:val="00822265"/>
    <w:rsid w:val="008230C2"/>
    <w:rsid w:val="008239BF"/>
    <w:rsid w:val="0082453E"/>
    <w:rsid w:val="008252AC"/>
    <w:rsid w:val="00825A8A"/>
    <w:rsid w:val="00825D2E"/>
    <w:rsid w:val="00826628"/>
    <w:rsid w:val="00826756"/>
    <w:rsid w:val="00830CA0"/>
    <w:rsid w:val="008328F7"/>
    <w:rsid w:val="00832E9D"/>
    <w:rsid w:val="0083336F"/>
    <w:rsid w:val="00833516"/>
    <w:rsid w:val="00833CD8"/>
    <w:rsid w:val="00834384"/>
    <w:rsid w:val="00834B4A"/>
    <w:rsid w:val="00836A84"/>
    <w:rsid w:val="00836B73"/>
    <w:rsid w:val="00836BCF"/>
    <w:rsid w:val="0084059F"/>
    <w:rsid w:val="0084167C"/>
    <w:rsid w:val="00841B9F"/>
    <w:rsid w:val="00842B4C"/>
    <w:rsid w:val="00842C96"/>
    <w:rsid w:val="00843878"/>
    <w:rsid w:val="00844729"/>
    <w:rsid w:val="0084601C"/>
    <w:rsid w:val="00847ED3"/>
    <w:rsid w:val="00850972"/>
    <w:rsid w:val="00851E5C"/>
    <w:rsid w:val="00852310"/>
    <w:rsid w:val="00852C94"/>
    <w:rsid w:val="00852CC1"/>
    <w:rsid w:val="008536A0"/>
    <w:rsid w:val="00854331"/>
    <w:rsid w:val="0085477F"/>
    <w:rsid w:val="00855296"/>
    <w:rsid w:val="00855382"/>
    <w:rsid w:val="00857781"/>
    <w:rsid w:val="008613C0"/>
    <w:rsid w:val="0086196C"/>
    <w:rsid w:val="00862316"/>
    <w:rsid w:val="00863896"/>
    <w:rsid w:val="00863E80"/>
    <w:rsid w:val="00864F61"/>
    <w:rsid w:val="00866813"/>
    <w:rsid w:val="008676F2"/>
    <w:rsid w:val="008718E9"/>
    <w:rsid w:val="008721AA"/>
    <w:rsid w:val="008722FC"/>
    <w:rsid w:val="00873DA8"/>
    <w:rsid w:val="008741A1"/>
    <w:rsid w:val="0087466D"/>
    <w:rsid w:val="00874EE6"/>
    <w:rsid w:val="00875464"/>
    <w:rsid w:val="00875B16"/>
    <w:rsid w:val="008764D4"/>
    <w:rsid w:val="00877078"/>
    <w:rsid w:val="00877784"/>
    <w:rsid w:val="00882ACB"/>
    <w:rsid w:val="0088466C"/>
    <w:rsid w:val="0088472E"/>
    <w:rsid w:val="00884A41"/>
    <w:rsid w:val="00885562"/>
    <w:rsid w:val="0088621F"/>
    <w:rsid w:val="00887A3C"/>
    <w:rsid w:val="0089072C"/>
    <w:rsid w:val="008919B2"/>
    <w:rsid w:val="008920E2"/>
    <w:rsid w:val="00893690"/>
    <w:rsid w:val="00894A1C"/>
    <w:rsid w:val="00894E06"/>
    <w:rsid w:val="00895A2E"/>
    <w:rsid w:val="008977E1"/>
    <w:rsid w:val="00897FD7"/>
    <w:rsid w:val="008A15F7"/>
    <w:rsid w:val="008A3178"/>
    <w:rsid w:val="008A363E"/>
    <w:rsid w:val="008A366C"/>
    <w:rsid w:val="008A3EF0"/>
    <w:rsid w:val="008A460D"/>
    <w:rsid w:val="008A4A45"/>
    <w:rsid w:val="008A4F3F"/>
    <w:rsid w:val="008A5653"/>
    <w:rsid w:val="008A5A02"/>
    <w:rsid w:val="008A7AFC"/>
    <w:rsid w:val="008B2FBD"/>
    <w:rsid w:val="008B41F8"/>
    <w:rsid w:val="008B4C90"/>
    <w:rsid w:val="008B4CB2"/>
    <w:rsid w:val="008B5B7D"/>
    <w:rsid w:val="008B6DB3"/>
    <w:rsid w:val="008C0084"/>
    <w:rsid w:val="008C06E0"/>
    <w:rsid w:val="008C0A56"/>
    <w:rsid w:val="008C113D"/>
    <w:rsid w:val="008C2179"/>
    <w:rsid w:val="008C3446"/>
    <w:rsid w:val="008C3C8B"/>
    <w:rsid w:val="008C656F"/>
    <w:rsid w:val="008C6EE2"/>
    <w:rsid w:val="008D14D3"/>
    <w:rsid w:val="008D26DB"/>
    <w:rsid w:val="008D2718"/>
    <w:rsid w:val="008D2EEC"/>
    <w:rsid w:val="008D3D0F"/>
    <w:rsid w:val="008D624B"/>
    <w:rsid w:val="008D6D3E"/>
    <w:rsid w:val="008E0E55"/>
    <w:rsid w:val="008E13CF"/>
    <w:rsid w:val="008E2CD6"/>
    <w:rsid w:val="008E2E01"/>
    <w:rsid w:val="008E3196"/>
    <w:rsid w:val="008E4855"/>
    <w:rsid w:val="008E4D20"/>
    <w:rsid w:val="008E4F81"/>
    <w:rsid w:val="008E745C"/>
    <w:rsid w:val="008E7A4F"/>
    <w:rsid w:val="008F1A54"/>
    <w:rsid w:val="008F2958"/>
    <w:rsid w:val="008F38E4"/>
    <w:rsid w:val="008F3FB8"/>
    <w:rsid w:val="008F526D"/>
    <w:rsid w:val="008F5947"/>
    <w:rsid w:val="008F5C24"/>
    <w:rsid w:val="008F6F72"/>
    <w:rsid w:val="008F7A4E"/>
    <w:rsid w:val="009001A2"/>
    <w:rsid w:val="00901373"/>
    <w:rsid w:val="009013DC"/>
    <w:rsid w:val="0090154A"/>
    <w:rsid w:val="00901934"/>
    <w:rsid w:val="0090475D"/>
    <w:rsid w:val="00904E66"/>
    <w:rsid w:val="00905DF5"/>
    <w:rsid w:val="00906194"/>
    <w:rsid w:val="009063CA"/>
    <w:rsid w:val="00907E68"/>
    <w:rsid w:val="00912086"/>
    <w:rsid w:val="00912713"/>
    <w:rsid w:val="00913196"/>
    <w:rsid w:val="00913E5F"/>
    <w:rsid w:val="009143A2"/>
    <w:rsid w:val="0091465E"/>
    <w:rsid w:val="009148D2"/>
    <w:rsid w:val="009152AB"/>
    <w:rsid w:val="009153BC"/>
    <w:rsid w:val="00917375"/>
    <w:rsid w:val="009176DA"/>
    <w:rsid w:val="00921443"/>
    <w:rsid w:val="00926859"/>
    <w:rsid w:val="009307F8"/>
    <w:rsid w:val="009308AB"/>
    <w:rsid w:val="009308C6"/>
    <w:rsid w:val="009312D6"/>
    <w:rsid w:val="0093162A"/>
    <w:rsid w:val="00931B53"/>
    <w:rsid w:val="009328C1"/>
    <w:rsid w:val="00933C11"/>
    <w:rsid w:val="009352C2"/>
    <w:rsid w:val="00935E4B"/>
    <w:rsid w:val="0093634C"/>
    <w:rsid w:val="0094274C"/>
    <w:rsid w:val="009431F8"/>
    <w:rsid w:val="009433D1"/>
    <w:rsid w:val="00943739"/>
    <w:rsid w:val="00943E65"/>
    <w:rsid w:val="00945550"/>
    <w:rsid w:val="00945680"/>
    <w:rsid w:val="00946813"/>
    <w:rsid w:val="009470D0"/>
    <w:rsid w:val="009501AB"/>
    <w:rsid w:val="00951399"/>
    <w:rsid w:val="0095177F"/>
    <w:rsid w:val="009524FE"/>
    <w:rsid w:val="00953049"/>
    <w:rsid w:val="009533B9"/>
    <w:rsid w:val="00956983"/>
    <w:rsid w:val="009607A5"/>
    <w:rsid w:val="0096282C"/>
    <w:rsid w:val="00964179"/>
    <w:rsid w:val="0096505C"/>
    <w:rsid w:val="009651CA"/>
    <w:rsid w:val="009659B1"/>
    <w:rsid w:val="00966441"/>
    <w:rsid w:val="00967902"/>
    <w:rsid w:val="009707A6"/>
    <w:rsid w:val="009720D6"/>
    <w:rsid w:val="00972AED"/>
    <w:rsid w:val="00972EB4"/>
    <w:rsid w:val="00974203"/>
    <w:rsid w:val="00975167"/>
    <w:rsid w:val="00975209"/>
    <w:rsid w:val="009772B6"/>
    <w:rsid w:val="00977CBE"/>
    <w:rsid w:val="00981908"/>
    <w:rsid w:val="00981CD1"/>
    <w:rsid w:val="00981F72"/>
    <w:rsid w:val="009853E0"/>
    <w:rsid w:val="009868DE"/>
    <w:rsid w:val="0099282E"/>
    <w:rsid w:val="0099574B"/>
    <w:rsid w:val="00995831"/>
    <w:rsid w:val="00997496"/>
    <w:rsid w:val="00997EF1"/>
    <w:rsid w:val="009A0073"/>
    <w:rsid w:val="009A0BF4"/>
    <w:rsid w:val="009A2672"/>
    <w:rsid w:val="009A3872"/>
    <w:rsid w:val="009A5DF0"/>
    <w:rsid w:val="009A612C"/>
    <w:rsid w:val="009A65F0"/>
    <w:rsid w:val="009A705A"/>
    <w:rsid w:val="009A7698"/>
    <w:rsid w:val="009A79D1"/>
    <w:rsid w:val="009A7A64"/>
    <w:rsid w:val="009A7D1B"/>
    <w:rsid w:val="009B0BB9"/>
    <w:rsid w:val="009B278B"/>
    <w:rsid w:val="009B394D"/>
    <w:rsid w:val="009B4CD1"/>
    <w:rsid w:val="009B4F3E"/>
    <w:rsid w:val="009B5509"/>
    <w:rsid w:val="009B582A"/>
    <w:rsid w:val="009B5B18"/>
    <w:rsid w:val="009B643D"/>
    <w:rsid w:val="009B674E"/>
    <w:rsid w:val="009B7048"/>
    <w:rsid w:val="009B7433"/>
    <w:rsid w:val="009C07CD"/>
    <w:rsid w:val="009C08EE"/>
    <w:rsid w:val="009C0B8C"/>
    <w:rsid w:val="009C302B"/>
    <w:rsid w:val="009C37EC"/>
    <w:rsid w:val="009C3A27"/>
    <w:rsid w:val="009C3D01"/>
    <w:rsid w:val="009C4FBE"/>
    <w:rsid w:val="009C5C66"/>
    <w:rsid w:val="009C70A8"/>
    <w:rsid w:val="009C7D26"/>
    <w:rsid w:val="009C7FC8"/>
    <w:rsid w:val="009D030C"/>
    <w:rsid w:val="009D0634"/>
    <w:rsid w:val="009D09C1"/>
    <w:rsid w:val="009D151F"/>
    <w:rsid w:val="009D1EC4"/>
    <w:rsid w:val="009D2506"/>
    <w:rsid w:val="009D4671"/>
    <w:rsid w:val="009D4ACC"/>
    <w:rsid w:val="009D4CF2"/>
    <w:rsid w:val="009D6A11"/>
    <w:rsid w:val="009D7E4C"/>
    <w:rsid w:val="009D7FDB"/>
    <w:rsid w:val="009E1E38"/>
    <w:rsid w:val="009E3719"/>
    <w:rsid w:val="009E3996"/>
    <w:rsid w:val="009E3A1A"/>
    <w:rsid w:val="009E4E8B"/>
    <w:rsid w:val="009E5105"/>
    <w:rsid w:val="009E5DC8"/>
    <w:rsid w:val="009E60DE"/>
    <w:rsid w:val="009E7160"/>
    <w:rsid w:val="009F0E0D"/>
    <w:rsid w:val="009F2354"/>
    <w:rsid w:val="009F3370"/>
    <w:rsid w:val="009F374C"/>
    <w:rsid w:val="009F4F7D"/>
    <w:rsid w:val="009F559E"/>
    <w:rsid w:val="009F5869"/>
    <w:rsid w:val="009F5932"/>
    <w:rsid w:val="009F5BC3"/>
    <w:rsid w:val="009F663D"/>
    <w:rsid w:val="009F6E9C"/>
    <w:rsid w:val="00A0041C"/>
    <w:rsid w:val="00A00D2A"/>
    <w:rsid w:val="00A010B9"/>
    <w:rsid w:val="00A0247B"/>
    <w:rsid w:val="00A04AE5"/>
    <w:rsid w:val="00A04AFA"/>
    <w:rsid w:val="00A05F4F"/>
    <w:rsid w:val="00A069B5"/>
    <w:rsid w:val="00A0769C"/>
    <w:rsid w:val="00A07CB2"/>
    <w:rsid w:val="00A1102E"/>
    <w:rsid w:val="00A12C84"/>
    <w:rsid w:val="00A12ED1"/>
    <w:rsid w:val="00A13621"/>
    <w:rsid w:val="00A1462B"/>
    <w:rsid w:val="00A14969"/>
    <w:rsid w:val="00A14CFC"/>
    <w:rsid w:val="00A164A1"/>
    <w:rsid w:val="00A17635"/>
    <w:rsid w:val="00A21EA6"/>
    <w:rsid w:val="00A226B0"/>
    <w:rsid w:val="00A22F10"/>
    <w:rsid w:val="00A234FF"/>
    <w:rsid w:val="00A249C4"/>
    <w:rsid w:val="00A24C83"/>
    <w:rsid w:val="00A24CF3"/>
    <w:rsid w:val="00A319EE"/>
    <w:rsid w:val="00A32014"/>
    <w:rsid w:val="00A323EB"/>
    <w:rsid w:val="00A32A25"/>
    <w:rsid w:val="00A32E93"/>
    <w:rsid w:val="00A33029"/>
    <w:rsid w:val="00A34EC5"/>
    <w:rsid w:val="00A35CE6"/>
    <w:rsid w:val="00A36254"/>
    <w:rsid w:val="00A3688F"/>
    <w:rsid w:val="00A3701F"/>
    <w:rsid w:val="00A4041D"/>
    <w:rsid w:val="00A40886"/>
    <w:rsid w:val="00A411E1"/>
    <w:rsid w:val="00A4133F"/>
    <w:rsid w:val="00A41D16"/>
    <w:rsid w:val="00A4222B"/>
    <w:rsid w:val="00A441FF"/>
    <w:rsid w:val="00A44803"/>
    <w:rsid w:val="00A4585F"/>
    <w:rsid w:val="00A45996"/>
    <w:rsid w:val="00A45CF3"/>
    <w:rsid w:val="00A465E3"/>
    <w:rsid w:val="00A47850"/>
    <w:rsid w:val="00A50061"/>
    <w:rsid w:val="00A50D18"/>
    <w:rsid w:val="00A50D90"/>
    <w:rsid w:val="00A51664"/>
    <w:rsid w:val="00A516C9"/>
    <w:rsid w:val="00A51A4C"/>
    <w:rsid w:val="00A51EE5"/>
    <w:rsid w:val="00A521D5"/>
    <w:rsid w:val="00A52B28"/>
    <w:rsid w:val="00A53074"/>
    <w:rsid w:val="00A5308C"/>
    <w:rsid w:val="00A53478"/>
    <w:rsid w:val="00A55696"/>
    <w:rsid w:val="00A575C5"/>
    <w:rsid w:val="00A60668"/>
    <w:rsid w:val="00A6074D"/>
    <w:rsid w:val="00A61903"/>
    <w:rsid w:val="00A626E7"/>
    <w:rsid w:val="00A63DAC"/>
    <w:rsid w:val="00A641CD"/>
    <w:rsid w:val="00A6556A"/>
    <w:rsid w:val="00A655D5"/>
    <w:rsid w:val="00A67141"/>
    <w:rsid w:val="00A676B8"/>
    <w:rsid w:val="00A71DAB"/>
    <w:rsid w:val="00A72236"/>
    <w:rsid w:val="00A72A79"/>
    <w:rsid w:val="00A736B2"/>
    <w:rsid w:val="00A7627E"/>
    <w:rsid w:val="00A80021"/>
    <w:rsid w:val="00A81343"/>
    <w:rsid w:val="00A81BD7"/>
    <w:rsid w:val="00A82954"/>
    <w:rsid w:val="00A83C66"/>
    <w:rsid w:val="00A846C4"/>
    <w:rsid w:val="00A8601E"/>
    <w:rsid w:val="00A876B5"/>
    <w:rsid w:val="00A87E2C"/>
    <w:rsid w:val="00A904A4"/>
    <w:rsid w:val="00A91575"/>
    <w:rsid w:val="00A94161"/>
    <w:rsid w:val="00A954C9"/>
    <w:rsid w:val="00AA0673"/>
    <w:rsid w:val="00AA0830"/>
    <w:rsid w:val="00AA1357"/>
    <w:rsid w:val="00AA2C58"/>
    <w:rsid w:val="00AA4446"/>
    <w:rsid w:val="00AA6773"/>
    <w:rsid w:val="00AA7631"/>
    <w:rsid w:val="00AB0045"/>
    <w:rsid w:val="00AB1499"/>
    <w:rsid w:val="00AB36A1"/>
    <w:rsid w:val="00AB4009"/>
    <w:rsid w:val="00AB5A5D"/>
    <w:rsid w:val="00AB6CAD"/>
    <w:rsid w:val="00AB7713"/>
    <w:rsid w:val="00AC1430"/>
    <w:rsid w:val="00AC1610"/>
    <w:rsid w:val="00AC19F5"/>
    <w:rsid w:val="00AC1EC3"/>
    <w:rsid w:val="00AC2E13"/>
    <w:rsid w:val="00AC44B7"/>
    <w:rsid w:val="00AC5255"/>
    <w:rsid w:val="00AC5EAF"/>
    <w:rsid w:val="00AC6D0F"/>
    <w:rsid w:val="00AD023C"/>
    <w:rsid w:val="00AD094C"/>
    <w:rsid w:val="00AD19E8"/>
    <w:rsid w:val="00AD200B"/>
    <w:rsid w:val="00AD27D1"/>
    <w:rsid w:val="00AD2C4E"/>
    <w:rsid w:val="00AD2E18"/>
    <w:rsid w:val="00AD315F"/>
    <w:rsid w:val="00AD34CC"/>
    <w:rsid w:val="00AD39DC"/>
    <w:rsid w:val="00AE00C0"/>
    <w:rsid w:val="00AE0811"/>
    <w:rsid w:val="00AE0EB0"/>
    <w:rsid w:val="00AE0F78"/>
    <w:rsid w:val="00AE15A9"/>
    <w:rsid w:val="00AE2866"/>
    <w:rsid w:val="00AE290D"/>
    <w:rsid w:val="00AE3B27"/>
    <w:rsid w:val="00AE3B2A"/>
    <w:rsid w:val="00AE3FCC"/>
    <w:rsid w:val="00AE4691"/>
    <w:rsid w:val="00AE4E38"/>
    <w:rsid w:val="00AE61DD"/>
    <w:rsid w:val="00AE65B4"/>
    <w:rsid w:val="00AE7FE2"/>
    <w:rsid w:val="00AF0AF2"/>
    <w:rsid w:val="00AF0D64"/>
    <w:rsid w:val="00AF1B73"/>
    <w:rsid w:val="00AF2472"/>
    <w:rsid w:val="00AF2CE5"/>
    <w:rsid w:val="00AF37BB"/>
    <w:rsid w:val="00AF4714"/>
    <w:rsid w:val="00AF5DBF"/>
    <w:rsid w:val="00AF6D6B"/>
    <w:rsid w:val="00AF7D66"/>
    <w:rsid w:val="00B002CB"/>
    <w:rsid w:val="00B01DB2"/>
    <w:rsid w:val="00B02CB3"/>
    <w:rsid w:val="00B03CA2"/>
    <w:rsid w:val="00B040AD"/>
    <w:rsid w:val="00B04FA6"/>
    <w:rsid w:val="00B05E25"/>
    <w:rsid w:val="00B069DB"/>
    <w:rsid w:val="00B0778C"/>
    <w:rsid w:val="00B077D2"/>
    <w:rsid w:val="00B1118F"/>
    <w:rsid w:val="00B1145F"/>
    <w:rsid w:val="00B129F2"/>
    <w:rsid w:val="00B12BA4"/>
    <w:rsid w:val="00B13A4A"/>
    <w:rsid w:val="00B148EE"/>
    <w:rsid w:val="00B152A3"/>
    <w:rsid w:val="00B159F2"/>
    <w:rsid w:val="00B15E59"/>
    <w:rsid w:val="00B1720A"/>
    <w:rsid w:val="00B17649"/>
    <w:rsid w:val="00B22654"/>
    <w:rsid w:val="00B23844"/>
    <w:rsid w:val="00B24306"/>
    <w:rsid w:val="00B254A3"/>
    <w:rsid w:val="00B26F46"/>
    <w:rsid w:val="00B27B30"/>
    <w:rsid w:val="00B305C3"/>
    <w:rsid w:val="00B318DC"/>
    <w:rsid w:val="00B3358C"/>
    <w:rsid w:val="00B34945"/>
    <w:rsid w:val="00B36583"/>
    <w:rsid w:val="00B36B39"/>
    <w:rsid w:val="00B36B61"/>
    <w:rsid w:val="00B412FA"/>
    <w:rsid w:val="00B413F4"/>
    <w:rsid w:val="00B4169E"/>
    <w:rsid w:val="00B44E66"/>
    <w:rsid w:val="00B45451"/>
    <w:rsid w:val="00B4670E"/>
    <w:rsid w:val="00B46EA9"/>
    <w:rsid w:val="00B4772E"/>
    <w:rsid w:val="00B50434"/>
    <w:rsid w:val="00B528FC"/>
    <w:rsid w:val="00B52A11"/>
    <w:rsid w:val="00B53ADF"/>
    <w:rsid w:val="00B53E0A"/>
    <w:rsid w:val="00B53F8B"/>
    <w:rsid w:val="00B5406E"/>
    <w:rsid w:val="00B54C25"/>
    <w:rsid w:val="00B55EB6"/>
    <w:rsid w:val="00B57EB7"/>
    <w:rsid w:val="00B62B77"/>
    <w:rsid w:val="00B6384C"/>
    <w:rsid w:val="00B63A19"/>
    <w:rsid w:val="00B63ED6"/>
    <w:rsid w:val="00B644E0"/>
    <w:rsid w:val="00B64A66"/>
    <w:rsid w:val="00B64AB2"/>
    <w:rsid w:val="00B675BB"/>
    <w:rsid w:val="00B679A3"/>
    <w:rsid w:val="00B70196"/>
    <w:rsid w:val="00B707D6"/>
    <w:rsid w:val="00B70CAF"/>
    <w:rsid w:val="00B71FF8"/>
    <w:rsid w:val="00B72468"/>
    <w:rsid w:val="00B7268A"/>
    <w:rsid w:val="00B72940"/>
    <w:rsid w:val="00B72975"/>
    <w:rsid w:val="00B7440F"/>
    <w:rsid w:val="00B7484F"/>
    <w:rsid w:val="00B755CE"/>
    <w:rsid w:val="00B76823"/>
    <w:rsid w:val="00B76834"/>
    <w:rsid w:val="00B769C1"/>
    <w:rsid w:val="00B77093"/>
    <w:rsid w:val="00B77362"/>
    <w:rsid w:val="00B7772B"/>
    <w:rsid w:val="00B8180C"/>
    <w:rsid w:val="00B81B70"/>
    <w:rsid w:val="00B83034"/>
    <w:rsid w:val="00B83A0F"/>
    <w:rsid w:val="00B84A3E"/>
    <w:rsid w:val="00B85407"/>
    <w:rsid w:val="00B90197"/>
    <w:rsid w:val="00B90224"/>
    <w:rsid w:val="00B92BE0"/>
    <w:rsid w:val="00B93A3A"/>
    <w:rsid w:val="00B95215"/>
    <w:rsid w:val="00B95D45"/>
    <w:rsid w:val="00B970B2"/>
    <w:rsid w:val="00B97C65"/>
    <w:rsid w:val="00BA1729"/>
    <w:rsid w:val="00BA31A1"/>
    <w:rsid w:val="00BA3745"/>
    <w:rsid w:val="00BA5368"/>
    <w:rsid w:val="00BA555A"/>
    <w:rsid w:val="00BA5885"/>
    <w:rsid w:val="00BA62A0"/>
    <w:rsid w:val="00BA6503"/>
    <w:rsid w:val="00BA79F4"/>
    <w:rsid w:val="00BA7EEE"/>
    <w:rsid w:val="00BB0251"/>
    <w:rsid w:val="00BB1423"/>
    <w:rsid w:val="00BB183A"/>
    <w:rsid w:val="00BB30C9"/>
    <w:rsid w:val="00BB3AB9"/>
    <w:rsid w:val="00BB3AC3"/>
    <w:rsid w:val="00BB3CEE"/>
    <w:rsid w:val="00BB5C26"/>
    <w:rsid w:val="00BB6EBB"/>
    <w:rsid w:val="00BC0D7C"/>
    <w:rsid w:val="00BC11B3"/>
    <w:rsid w:val="00BC1D9E"/>
    <w:rsid w:val="00BC4330"/>
    <w:rsid w:val="00BC64FC"/>
    <w:rsid w:val="00BC6624"/>
    <w:rsid w:val="00BD053B"/>
    <w:rsid w:val="00BD0E93"/>
    <w:rsid w:val="00BD1C27"/>
    <w:rsid w:val="00BD216F"/>
    <w:rsid w:val="00BD21A5"/>
    <w:rsid w:val="00BD2854"/>
    <w:rsid w:val="00BD2D39"/>
    <w:rsid w:val="00BD3527"/>
    <w:rsid w:val="00BD3A59"/>
    <w:rsid w:val="00BD4520"/>
    <w:rsid w:val="00BD50E2"/>
    <w:rsid w:val="00BD6258"/>
    <w:rsid w:val="00BD65B3"/>
    <w:rsid w:val="00BE32FE"/>
    <w:rsid w:val="00BE4588"/>
    <w:rsid w:val="00BE4954"/>
    <w:rsid w:val="00BE5D56"/>
    <w:rsid w:val="00BE5F3B"/>
    <w:rsid w:val="00BF008E"/>
    <w:rsid w:val="00BF01C9"/>
    <w:rsid w:val="00BF09AD"/>
    <w:rsid w:val="00BF0AB5"/>
    <w:rsid w:val="00BF0BC7"/>
    <w:rsid w:val="00BF1AE4"/>
    <w:rsid w:val="00BF492D"/>
    <w:rsid w:val="00BF5208"/>
    <w:rsid w:val="00BF5972"/>
    <w:rsid w:val="00BF6620"/>
    <w:rsid w:val="00BF6B8E"/>
    <w:rsid w:val="00BF6EEE"/>
    <w:rsid w:val="00C00250"/>
    <w:rsid w:val="00C036D3"/>
    <w:rsid w:val="00C057ED"/>
    <w:rsid w:val="00C06571"/>
    <w:rsid w:val="00C0727D"/>
    <w:rsid w:val="00C1074B"/>
    <w:rsid w:val="00C10C3C"/>
    <w:rsid w:val="00C11674"/>
    <w:rsid w:val="00C1191C"/>
    <w:rsid w:val="00C122A7"/>
    <w:rsid w:val="00C12EC1"/>
    <w:rsid w:val="00C12FEE"/>
    <w:rsid w:val="00C131E0"/>
    <w:rsid w:val="00C13C00"/>
    <w:rsid w:val="00C14EC8"/>
    <w:rsid w:val="00C16FF8"/>
    <w:rsid w:val="00C17E51"/>
    <w:rsid w:val="00C202E8"/>
    <w:rsid w:val="00C20507"/>
    <w:rsid w:val="00C2164F"/>
    <w:rsid w:val="00C21911"/>
    <w:rsid w:val="00C220F2"/>
    <w:rsid w:val="00C2227E"/>
    <w:rsid w:val="00C245FB"/>
    <w:rsid w:val="00C24910"/>
    <w:rsid w:val="00C25597"/>
    <w:rsid w:val="00C25886"/>
    <w:rsid w:val="00C25B3D"/>
    <w:rsid w:val="00C25EF9"/>
    <w:rsid w:val="00C31D9F"/>
    <w:rsid w:val="00C3243C"/>
    <w:rsid w:val="00C33E2D"/>
    <w:rsid w:val="00C33F0E"/>
    <w:rsid w:val="00C34A3B"/>
    <w:rsid w:val="00C34C7F"/>
    <w:rsid w:val="00C356E9"/>
    <w:rsid w:val="00C35D31"/>
    <w:rsid w:val="00C36943"/>
    <w:rsid w:val="00C36D3F"/>
    <w:rsid w:val="00C37902"/>
    <w:rsid w:val="00C4079F"/>
    <w:rsid w:val="00C427FD"/>
    <w:rsid w:val="00C4337B"/>
    <w:rsid w:val="00C44857"/>
    <w:rsid w:val="00C45053"/>
    <w:rsid w:val="00C46667"/>
    <w:rsid w:val="00C4678A"/>
    <w:rsid w:val="00C46992"/>
    <w:rsid w:val="00C47577"/>
    <w:rsid w:val="00C5094A"/>
    <w:rsid w:val="00C51D44"/>
    <w:rsid w:val="00C534EE"/>
    <w:rsid w:val="00C548F2"/>
    <w:rsid w:val="00C55A86"/>
    <w:rsid w:val="00C55C99"/>
    <w:rsid w:val="00C6017F"/>
    <w:rsid w:val="00C619ED"/>
    <w:rsid w:val="00C636A7"/>
    <w:rsid w:val="00C63C8D"/>
    <w:rsid w:val="00C64BFC"/>
    <w:rsid w:val="00C66D15"/>
    <w:rsid w:val="00C66D59"/>
    <w:rsid w:val="00C67C80"/>
    <w:rsid w:val="00C67D06"/>
    <w:rsid w:val="00C70759"/>
    <w:rsid w:val="00C7085E"/>
    <w:rsid w:val="00C709B5"/>
    <w:rsid w:val="00C70D5C"/>
    <w:rsid w:val="00C71B58"/>
    <w:rsid w:val="00C71D84"/>
    <w:rsid w:val="00C71FB4"/>
    <w:rsid w:val="00C742A0"/>
    <w:rsid w:val="00C7454C"/>
    <w:rsid w:val="00C768E2"/>
    <w:rsid w:val="00C77E1F"/>
    <w:rsid w:val="00C8042C"/>
    <w:rsid w:val="00C8060E"/>
    <w:rsid w:val="00C80D5F"/>
    <w:rsid w:val="00C81150"/>
    <w:rsid w:val="00C81914"/>
    <w:rsid w:val="00C82139"/>
    <w:rsid w:val="00C822E3"/>
    <w:rsid w:val="00C8259B"/>
    <w:rsid w:val="00C847F6"/>
    <w:rsid w:val="00C84E94"/>
    <w:rsid w:val="00C8513B"/>
    <w:rsid w:val="00C85299"/>
    <w:rsid w:val="00C85784"/>
    <w:rsid w:val="00C873F4"/>
    <w:rsid w:val="00C920D9"/>
    <w:rsid w:val="00C92F15"/>
    <w:rsid w:val="00C93E1A"/>
    <w:rsid w:val="00C94E08"/>
    <w:rsid w:val="00C94ECA"/>
    <w:rsid w:val="00C9534F"/>
    <w:rsid w:val="00C961AE"/>
    <w:rsid w:val="00CA031B"/>
    <w:rsid w:val="00CA1AD7"/>
    <w:rsid w:val="00CA1CD3"/>
    <w:rsid w:val="00CA241D"/>
    <w:rsid w:val="00CA3053"/>
    <w:rsid w:val="00CA61C6"/>
    <w:rsid w:val="00CA65B2"/>
    <w:rsid w:val="00CA710F"/>
    <w:rsid w:val="00CA7714"/>
    <w:rsid w:val="00CB041C"/>
    <w:rsid w:val="00CB0C35"/>
    <w:rsid w:val="00CB1716"/>
    <w:rsid w:val="00CB2288"/>
    <w:rsid w:val="00CB23B9"/>
    <w:rsid w:val="00CB5406"/>
    <w:rsid w:val="00CB59B3"/>
    <w:rsid w:val="00CB5F33"/>
    <w:rsid w:val="00CB7039"/>
    <w:rsid w:val="00CC033C"/>
    <w:rsid w:val="00CC07EE"/>
    <w:rsid w:val="00CC0DD2"/>
    <w:rsid w:val="00CC1AC5"/>
    <w:rsid w:val="00CC30E6"/>
    <w:rsid w:val="00CC3EEA"/>
    <w:rsid w:val="00CC65CF"/>
    <w:rsid w:val="00CC65F4"/>
    <w:rsid w:val="00CC66C3"/>
    <w:rsid w:val="00CC6ADF"/>
    <w:rsid w:val="00CC7C16"/>
    <w:rsid w:val="00CD0923"/>
    <w:rsid w:val="00CD128A"/>
    <w:rsid w:val="00CD2448"/>
    <w:rsid w:val="00CD2656"/>
    <w:rsid w:val="00CD5B1C"/>
    <w:rsid w:val="00CD633E"/>
    <w:rsid w:val="00CD6592"/>
    <w:rsid w:val="00CD6CEB"/>
    <w:rsid w:val="00CD7661"/>
    <w:rsid w:val="00CE021C"/>
    <w:rsid w:val="00CE2DD5"/>
    <w:rsid w:val="00CE2F97"/>
    <w:rsid w:val="00CE3CC5"/>
    <w:rsid w:val="00CE47F8"/>
    <w:rsid w:val="00CE69A0"/>
    <w:rsid w:val="00CF0B5D"/>
    <w:rsid w:val="00CF0CEE"/>
    <w:rsid w:val="00CF0E20"/>
    <w:rsid w:val="00CF25B5"/>
    <w:rsid w:val="00CF2725"/>
    <w:rsid w:val="00CF4351"/>
    <w:rsid w:val="00CF5A89"/>
    <w:rsid w:val="00CF71CF"/>
    <w:rsid w:val="00CF745A"/>
    <w:rsid w:val="00D00759"/>
    <w:rsid w:val="00D0213F"/>
    <w:rsid w:val="00D02C23"/>
    <w:rsid w:val="00D0314D"/>
    <w:rsid w:val="00D07E63"/>
    <w:rsid w:val="00D10C0A"/>
    <w:rsid w:val="00D10F6B"/>
    <w:rsid w:val="00D128DE"/>
    <w:rsid w:val="00D1357D"/>
    <w:rsid w:val="00D144A2"/>
    <w:rsid w:val="00D148D7"/>
    <w:rsid w:val="00D149E7"/>
    <w:rsid w:val="00D157C3"/>
    <w:rsid w:val="00D16211"/>
    <w:rsid w:val="00D1636F"/>
    <w:rsid w:val="00D16B58"/>
    <w:rsid w:val="00D17226"/>
    <w:rsid w:val="00D17581"/>
    <w:rsid w:val="00D17E0B"/>
    <w:rsid w:val="00D22EE0"/>
    <w:rsid w:val="00D23B29"/>
    <w:rsid w:val="00D23E8B"/>
    <w:rsid w:val="00D2412A"/>
    <w:rsid w:val="00D30973"/>
    <w:rsid w:val="00D32EE0"/>
    <w:rsid w:val="00D3308D"/>
    <w:rsid w:val="00D34F27"/>
    <w:rsid w:val="00D353B2"/>
    <w:rsid w:val="00D37756"/>
    <w:rsid w:val="00D40396"/>
    <w:rsid w:val="00D4062D"/>
    <w:rsid w:val="00D4089B"/>
    <w:rsid w:val="00D40E0D"/>
    <w:rsid w:val="00D4150C"/>
    <w:rsid w:val="00D43786"/>
    <w:rsid w:val="00D4395F"/>
    <w:rsid w:val="00D44F7E"/>
    <w:rsid w:val="00D454FD"/>
    <w:rsid w:val="00D45C60"/>
    <w:rsid w:val="00D45ECB"/>
    <w:rsid w:val="00D46072"/>
    <w:rsid w:val="00D4636E"/>
    <w:rsid w:val="00D46917"/>
    <w:rsid w:val="00D469AB"/>
    <w:rsid w:val="00D4754A"/>
    <w:rsid w:val="00D5152B"/>
    <w:rsid w:val="00D52084"/>
    <w:rsid w:val="00D530A7"/>
    <w:rsid w:val="00D54192"/>
    <w:rsid w:val="00D54E47"/>
    <w:rsid w:val="00D56C45"/>
    <w:rsid w:val="00D57521"/>
    <w:rsid w:val="00D6484A"/>
    <w:rsid w:val="00D66CFF"/>
    <w:rsid w:val="00D67D28"/>
    <w:rsid w:val="00D70742"/>
    <w:rsid w:val="00D707ED"/>
    <w:rsid w:val="00D71019"/>
    <w:rsid w:val="00D71591"/>
    <w:rsid w:val="00D72118"/>
    <w:rsid w:val="00D726B3"/>
    <w:rsid w:val="00D731FB"/>
    <w:rsid w:val="00D742B1"/>
    <w:rsid w:val="00D75403"/>
    <w:rsid w:val="00D75D23"/>
    <w:rsid w:val="00D7629F"/>
    <w:rsid w:val="00D763A1"/>
    <w:rsid w:val="00D763EB"/>
    <w:rsid w:val="00D764F2"/>
    <w:rsid w:val="00D779A0"/>
    <w:rsid w:val="00D77A11"/>
    <w:rsid w:val="00D77A21"/>
    <w:rsid w:val="00D824C7"/>
    <w:rsid w:val="00D83BDF"/>
    <w:rsid w:val="00D8442D"/>
    <w:rsid w:val="00D847DE"/>
    <w:rsid w:val="00D85CB9"/>
    <w:rsid w:val="00D9212D"/>
    <w:rsid w:val="00D92643"/>
    <w:rsid w:val="00D93A60"/>
    <w:rsid w:val="00D9598D"/>
    <w:rsid w:val="00D95FB8"/>
    <w:rsid w:val="00D96903"/>
    <w:rsid w:val="00D97B84"/>
    <w:rsid w:val="00DA0DD6"/>
    <w:rsid w:val="00DA1E29"/>
    <w:rsid w:val="00DA28BF"/>
    <w:rsid w:val="00DA34F9"/>
    <w:rsid w:val="00DA445F"/>
    <w:rsid w:val="00DA4EA7"/>
    <w:rsid w:val="00DA5049"/>
    <w:rsid w:val="00DA5DF2"/>
    <w:rsid w:val="00DA5F83"/>
    <w:rsid w:val="00DA68F2"/>
    <w:rsid w:val="00DA7E26"/>
    <w:rsid w:val="00DB10FC"/>
    <w:rsid w:val="00DB138A"/>
    <w:rsid w:val="00DB20B4"/>
    <w:rsid w:val="00DB26D0"/>
    <w:rsid w:val="00DB578B"/>
    <w:rsid w:val="00DB5E74"/>
    <w:rsid w:val="00DB6234"/>
    <w:rsid w:val="00DB6A55"/>
    <w:rsid w:val="00DB6F12"/>
    <w:rsid w:val="00DB758A"/>
    <w:rsid w:val="00DC0671"/>
    <w:rsid w:val="00DC0BBC"/>
    <w:rsid w:val="00DC124F"/>
    <w:rsid w:val="00DC1F7B"/>
    <w:rsid w:val="00DC270A"/>
    <w:rsid w:val="00DC2764"/>
    <w:rsid w:val="00DC2F88"/>
    <w:rsid w:val="00DC36DF"/>
    <w:rsid w:val="00DC3A4F"/>
    <w:rsid w:val="00DC3A56"/>
    <w:rsid w:val="00DC771E"/>
    <w:rsid w:val="00DC791B"/>
    <w:rsid w:val="00DD1411"/>
    <w:rsid w:val="00DD1459"/>
    <w:rsid w:val="00DD3340"/>
    <w:rsid w:val="00DD63BB"/>
    <w:rsid w:val="00DD7A7C"/>
    <w:rsid w:val="00DE01A5"/>
    <w:rsid w:val="00DE1D7D"/>
    <w:rsid w:val="00DE2D26"/>
    <w:rsid w:val="00DE327D"/>
    <w:rsid w:val="00DE3A9D"/>
    <w:rsid w:val="00DE49D3"/>
    <w:rsid w:val="00DE57C3"/>
    <w:rsid w:val="00DE6B14"/>
    <w:rsid w:val="00DE721D"/>
    <w:rsid w:val="00DF071B"/>
    <w:rsid w:val="00DF0F5D"/>
    <w:rsid w:val="00DF1AAD"/>
    <w:rsid w:val="00DF3511"/>
    <w:rsid w:val="00DF4239"/>
    <w:rsid w:val="00DF5EB0"/>
    <w:rsid w:val="00DF6449"/>
    <w:rsid w:val="00E029C4"/>
    <w:rsid w:val="00E04595"/>
    <w:rsid w:val="00E0498A"/>
    <w:rsid w:val="00E05911"/>
    <w:rsid w:val="00E05D38"/>
    <w:rsid w:val="00E06855"/>
    <w:rsid w:val="00E072AF"/>
    <w:rsid w:val="00E105BC"/>
    <w:rsid w:val="00E11024"/>
    <w:rsid w:val="00E11715"/>
    <w:rsid w:val="00E12404"/>
    <w:rsid w:val="00E127C5"/>
    <w:rsid w:val="00E13717"/>
    <w:rsid w:val="00E13817"/>
    <w:rsid w:val="00E13896"/>
    <w:rsid w:val="00E13AC4"/>
    <w:rsid w:val="00E13F30"/>
    <w:rsid w:val="00E14012"/>
    <w:rsid w:val="00E15A96"/>
    <w:rsid w:val="00E20443"/>
    <w:rsid w:val="00E2083B"/>
    <w:rsid w:val="00E20E04"/>
    <w:rsid w:val="00E210FF"/>
    <w:rsid w:val="00E216E9"/>
    <w:rsid w:val="00E2180D"/>
    <w:rsid w:val="00E226D9"/>
    <w:rsid w:val="00E2319C"/>
    <w:rsid w:val="00E2459E"/>
    <w:rsid w:val="00E2525A"/>
    <w:rsid w:val="00E26046"/>
    <w:rsid w:val="00E27282"/>
    <w:rsid w:val="00E304B1"/>
    <w:rsid w:val="00E31279"/>
    <w:rsid w:val="00E32123"/>
    <w:rsid w:val="00E323BC"/>
    <w:rsid w:val="00E32894"/>
    <w:rsid w:val="00E32BB2"/>
    <w:rsid w:val="00E34A2E"/>
    <w:rsid w:val="00E34AE5"/>
    <w:rsid w:val="00E362D8"/>
    <w:rsid w:val="00E37649"/>
    <w:rsid w:val="00E406F9"/>
    <w:rsid w:val="00E4087F"/>
    <w:rsid w:val="00E44BFD"/>
    <w:rsid w:val="00E45120"/>
    <w:rsid w:val="00E4546F"/>
    <w:rsid w:val="00E4549C"/>
    <w:rsid w:val="00E474B7"/>
    <w:rsid w:val="00E504BD"/>
    <w:rsid w:val="00E504F6"/>
    <w:rsid w:val="00E52EE2"/>
    <w:rsid w:val="00E5437C"/>
    <w:rsid w:val="00E54D0B"/>
    <w:rsid w:val="00E560C1"/>
    <w:rsid w:val="00E605BF"/>
    <w:rsid w:val="00E616A8"/>
    <w:rsid w:val="00E61797"/>
    <w:rsid w:val="00E61FA2"/>
    <w:rsid w:val="00E62A96"/>
    <w:rsid w:val="00E62E71"/>
    <w:rsid w:val="00E6435A"/>
    <w:rsid w:val="00E651D3"/>
    <w:rsid w:val="00E6575D"/>
    <w:rsid w:val="00E65C27"/>
    <w:rsid w:val="00E65D72"/>
    <w:rsid w:val="00E6619C"/>
    <w:rsid w:val="00E672BB"/>
    <w:rsid w:val="00E709FC"/>
    <w:rsid w:val="00E71C9A"/>
    <w:rsid w:val="00E73210"/>
    <w:rsid w:val="00E74911"/>
    <w:rsid w:val="00E75879"/>
    <w:rsid w:val="00E7677F"/>
    <w:rsid w:val="00E76B84"/>
    <w:rsid w:val="00E7757C"/>
    <w:rsid w:val="00E77663"/>
    <w:rsid w:val="00E77834"/>
    <w:rsid w:val="00E80C60"/>
    <w:rsid w:val="00E80ECB"/>
    <w:rsid w:val="00E836D0"/>
    <w:rsid w:val="00E8374A"/>
    <w:rsid w:val="00E84027"/>
    <w:rsid w:val="00E84401"/>
    <w:rsid w:val="00E858D2"/>
    <w:rsid w:val="00E90580"/>
    <w:rsid w:val="00E90B92"/>
    <w:rsid w:val="00E93049"/>
    <w:rsid w:val="00E93A9E"/>
    <w:rsid w:val="00E94938"/>
    <w:rsid w:val="00E95B57"/>
    <w:rsid w:val="00E96B6F"/>
    <w:rsid w:val="00EA0601"/>
    <w:rsid w:val="00EA1182"/>
    <w:rsid w:val="00EA180C"/>
    <w:rsid w:val="00EA23D1"/>
    <w:rsid w:val="00EA281D"/>
    <w:rsid w:val="00EA3CF1"/>
    <w:rsid w:val="00EA436C"/>
    <w:rsid w:val="00EA618F"/>
    <w:rsid w:val="00EA6991"/>
    <w:rsid w:val="00EB02F6"/>
    <w:rsid w:val="00EB0715"/>
    <w:rsid w:val="00EB1417"/>
    <w:rsid w:val="00EB1818"/>
    <w:rsid w:val="00EB1AF1"/>
    <w:rsid w:val="00EB2C29"/>
    <w:rsid w:val="00EB2CFE"/>
    <w:rsid w:val="00EB4377"/>
    <w:rsid w:val="00EB4522"/>
    <w:rsid w:val="00EB5EFD"/>
    <w:rsid w:val="00EB627A"/>
    <w:rsid w:val="00EB7448"/>
    <w:rsid w:val="00EB7456"/>
    <w:rsid w:val="00EC0415"/>
    <w:rsid w:val="00EC0D9C"/>
    <w:rsid w:val="00EC0EAE"/>
    <w:rsid w:val="00EC1B40"/>
    <w:rsid w:val="00EC303F"/>
    <w:rsid w:val="00EC3D00"/>
    <w:rsid w:val="00EC49C7"/>
    <w:rsid w:val="00EC4DF1"/>
    <w:rsid w:val="00EC5DDA"/>
    <w:rsid w:val="00EC61E2"/>
    <w:rsid w:val="00EC642D"/>
    <w:rsid w:val="00ED062B"/>
    <w:rsid w:val="00ED0B7D"/>
    <w:rsid w:val="00ED0C32"/>
    <w:rsid w:val="00ED21C5"/>
    <w:rsid w:val="00ED4A8B"/>
    <w:rsid w:val="00ED7C9A"/>
    <w:rsid w:val="00ED7DC0"/>
    <w:rsid w:val="00EE1D08"/>
    <w:rsid w:val="00EE2084"/>
    <w:rsid w:val="00EE3B4C"/>
    <w:rsid w:val="00EE3BD5"/>
    <w:rsid w:val="00EE49E9"/>
    <w:rsid w:val="00EE4A65"/>
    <w:rsid w:val="00EE5A05"/>
    <w:rsid w:val="00EE6521"/>
    <w:rsid w:val="00EF0506"/>
    <w:rsid w:val="00EF1B0E"/>
    <w:rsid w:val="00EF47F7"/>
    <w:rsid w:val="00EF5931"/>
    <w:rsid w:val="00EF6A92"/>
    <w:rsid w:val="00EF7C17"/>
    <w:rsid w:val="00F000AD"/>
    <w:rsid w:val="00F01783"/>
    <w:rsid w:val="00F020E9"/>
    <w:rsid w:val="00F02A4B"/>
    <w:rsid w:val="00F041A7"/>
    <w:rsid w:val="00F055EF"/>
    <w:rsid w:val="00F058A4"/>
    <w:rsid w:val="00F05D94"/>
    <w:rsid w:val="00F063DB"/>
    <w:rsid w:val="00F06586"/>
    <w:rsid w:val="00F06F20"/>
    <w:rsid w:val="00F07132"/>
    <w:rsid w:val="00F07BF5"/>
    <w:rsid w:val="00F07C0E"/>
    <w:rsid w:val="00F07DF6"/>
    <w:rsid w:val="00F10041"/>
    <w:rsid w:val="00F103B1"/>
    <w:rsid w:val="00F1237A"/>
    <w:rsid w:val="00F14823"/>
    <w:rsid w:val="00F16647"/>
    <w:rsid w:val="00F202B8"/>
    <w:rsid w:val="00F21926"/>
    <w:rsid w:val="00F21A3E"/>
    <w:rsid w:val="00F220A2"/>
    <w:rsid w:val="00F32508"/>
    <w:rsid w:val="00F327C8"/>
    <w:rsid w:val="00F32913"/>
    <w:rsid w:val="00F32DB8"/>
    <w:rsid w:val="00F3359D"/>
    <w:rsid w:val="00F337A4"/>
    <w:rsid w:val="00F349F3"/>
    <w:rsid w:val="00F34B3A"/>
    <w:rsid w:val="00F3550D"/>
    <w:rsid w:val="00F35FCA"/>
    <w:rsid w:val="00F36C96"/>
    <w:rsid w:val="00F40AC2"/>
    <w:rsid w:val="00F418B4"/>
    <w:rsid w:val="00F41C0F"/>
    <w:rsid w:val="00F41CF1"/>
    <w:rsid w:val="00F4276E"/>
    <w:rsid w:val="00F43B79"/>
    <w:rsid w:val="00F43C33"/>
    <w:rsid w:val="00F44291"/>
    <w:rsid w:val="00F44B72"/>
    <w:rsid w:val="00F44D2D"/>
    <w:rsid w:val="00F45E3C"/>
    <w:rsid w:val="00F45E80"/>
    <w:rsid w:val="00F461D5"/>
    <w:rsid w:val="00F4690C"/>
    <w:rsid w:val="00F46B02"/>
    <w:rsid w:val="00F50053"/>
    <w:rsid w:val="00F50B45"/>
    <w:rsid w:val="00F50EE4"/>
    <w:rsid w:val="00F51D87"/>
    <w:rsid w:val="00F52C50"/>
    <w:rsid w:val="00F534E9"/>
    <w:rsid w:val="00F543D6"/>
    <w:rsid w:val="00F5590F"/>
    <w:rsid w:val="00F6017D"/>
    <w:rsid w:val="00F608A1"/>
    <w:rsid w:val="00F61864"/>
    <w:rsid w:val="00F61D43"/>
    <w:rsid w:val="00F6619E"/>
    <w:rsid w:val="00F67398"/>
    <w:rsid w:val="00F71246"/>
    <w:rsid w:val="00F71E9E"/>
    <w:rsid w:val="00F723A4"/>
    <w:rsid w:val="00F724E1"/>
    <w:rsid w:val="00F7326E"/>
    <w:rsid w:val="00F736ED"/>
    <w:rsid w:val="00F737CD"/>
    <w:rsid w:val="00F74550"/>
    <w:rsid w:val="00F756D5"/>
    <w:rsid w:val="00F75E60"/>
    <w:rsid w:val="00F80837"/>
    <w:rsid w:val="00F8425B"/>
    <w:rsid w:val="00F84C69"/>
    <w:rsid w:val="00F85782"/>
    <w:rsid w:val="00F859B1"/>
    <w:rsid w:val="00F85B4F"/>
    <w:rsid w:val="00F85BD0"/>
    <w:rsid w:val="00F873BE"/>
    <w:rsid w:val="00F9067C"/>
    <w:rsid w:val="00F91B39"/>
    <w:rsid w:val="00F91E93"/>
    <w:rsid w:val="00F91EC5"/>
    <w:rsid w:val="00F93D5A"/>
    <w:rsid w:val="00F93FBA"/>
    <w:rsid w:val="00F94408"/>
    <w:rsid w:val="00F96671"/>
    <w:rsid w:val="00F96D5F"/>
    <w:rsid w:val="00F97113"/>
    <w:rsid w:val="00F97865"/>
    <w:rsid w:val="00F97FAB"/>
    <w:rsid w:val="00FA055B"/>
    <w:rsid w:val="00FA0DB7"/>
    <w:rsid w:val="00FA1C3D"/>
    <w:rsid w:val="00FA1D28"/>
    <w:rsid w:val="00FA3796"/>
    <w:rsid w:val="00FA3FEC"/>
    <w:rsid w:val="00FA4BAF"/>
    <w:rsid w:val="00FA5592"/>
    <w:rsid w:val="00FA653E"/>
    <w:rsid w:val="00FA6C9D"/>
    <w:rsid w:val="00FA7388"/>
    <w:rsid w:val="00FB013D"/>
    <w:rsid w:val="00FB036C"/>
    <w:rsid w:val="00FB1301"/>
    <w:rsid w:val="00FB34A0"/>
    <w:rsid w:val="00FB356A"/>
    <w:rsid w:val="00FB3D8E"/>
    <w:rsid w:val="00FB4478"/>
    <w:rsid w:val="00FB5063"/>
    <w:rsid w:val="00FB51DA"/>
    <w:rsid w:val="00FB5A88"/>
    <w:rsid w:val="00FB5FBE"/>
    <w:rsid w:val="00FB7577"/>
    <w:rsid w:val="00FC00D4"/>
    <w:rsid w:val="00FC18BE"/>
    <w:rsid w:val="00FC26CE"/>
    <w:rsid w:val="00FC4250"/>
    <w:rsid w:val="00FC42F5"/>
    <w:rsid w:val="00FC4BAE"/>
    <w:rsid w:val="00FC4CAD"/>
    <w:rsid w:val="00FC6553"/>
    <w:rsid w:val="00FC7B9E"/>
    <w:rsid w:val="00FD00C8"/>
    <w:rsid w:val="00FD0215"/>
    <w:rsid w:val="00FD035B"/>
    <w:rsid w:val="00FD12BF"/>
    <w:rsid w:val="00FD21C1"/>
    <w:rsid w:val="00FD278A"/>
    <w:rsid w:val="00FD32E3"/>
    <w:rsid w:val="00FD3C26"/>
    <w:rsid w:val="00FD4C3E"/>
    <w:rsid w:val="00FD50B1"/>
    <w:rsid w:val="00FD5589"/>
    <w:rsid w:val="00FD579B"/>
    <w:rsid w:val="00FD6286"/>
    <w:rsid w:val="00FD70A4"/>
    <w:rsid w:val="00FD7D7A"/>
    <w:rsid w:val="00FE01F6"/>
    <w:rsid w:val="00FE19F0"/>
    <w:rsid w:val="00FE1C0D"/>
    <w:rsid w:val="00FE33AB"/>
    <w:rsid w:val="00FE33D4"/>
    <w:rsid w:val="00FE3C45"/>
    <w:rsid w:val="00FE4FC5"/>
    <w:rsid w:val="00FE6A98"/>
    <w:rsid w:val="00FF017F"/>
    <w:rsid w:val="00FF0374"/>
    <w:rsid w:val="00FF1B7F"/>
    <w:rsid w:val="00FF23E3"/>
    <w:rsid w:val="00FF27DB"/>
    <w:rsid w:val="00FF2908"/>
    <w:rsid w:val="00FF2FA9"/>
    <w:rsid w:val="00FF319A"/>
    <w:rsid w:val="00FF3BB7"/>
    <w:rsid w:val="00FF3CC6"/>
    <w:rsid w:val="00FF45F9"/>
    <w:rsid w:val="011E0236"/>
    <w:rsid w:val="01F62F61"/>
    <w:rsid w:val="03217B69"/>
    <w:rsid w:val="032B09E8"/>
    <w:rsid w:val="033A0C2B"/>
    <w:rsid w:val="037203C5"/>
    <w:rsid w:val="037E6D6A"/>
    <w:rsid w:val="03BD3D36"/>
    <w:rsid w:val="03E80687"/>
    <w:rsid w:val="041F0702"/>
    <w:rsid w:val="048200AE"/>
    <w:rsid w:val="04B073F7"/>
    <w:rsid w:val="05281683"/>
    <w:rsid w:val="055243BC"/>
    <w:rsid w:val="05524952"/>
    <w:rsid w:val="05791F84"/>
    <w:rsid w:val="06326518"/>
    <w:rsid w:val="06B261C1"/>
    <w:rsid w:val="08204893"/>
    <w:rsid w:val="0858402D"/>
    <w:rsid w:val="08B81370"/>
    <w:rsid w:val="09F4422A"/>
    <w:rsid w:val="0A0A42DC"/>
    <w:rsid w:val="0A540824"/>
    <w:rsid w:val="0A6C5D56"/>
    <w:rsid w:val="0B5C2086"/>
    <w:rsid w:val="0B732F2C"/>
    <w:rsid w:val="0BE84375"/>
    <w:rsid w:val="0C3C16D7"/>
    <w:rsid w:val="0C6D3E1F"/>
    <w:rsid w:val="0C6F1945"/>
    <w:rsid w:val="0CDC49A2"/>
    <w:rsid w:val="0D183D8B"/>
    <w:rsid w:val="0D3112F1"/>
    <w:rsid w:val="0D841421"/>
    <w:rsid w:val="0DE93979"/>
    <w:rsid w:val="0EA331BE"/>
    <w:rsid w:val="0EFE7157"/>
    <w:rsid w:val="0F3C2C76"/>
    <w:rsid w:val="105B119B"/>
    <w:rsid w:val="11627CCB"/>
    <w:rsid w:val="126F6B93"/>
    <w:rsid w:val="12946773"/>
    <w:rsid w:val="12D20E80"/>
    <w:rsid w:val="135B70C7"/>
    <w:rsid w:val="13AF472B"/>
    <w:rsid w:val="13C95DDF"/>
    <w:rsid w:val="13E269E3"/>
    <w:rsid w:val="13F6154B"/>
    <w:rsid w:val="14661880"/>
    <w:rsid w:val="14BC5944"/>
    <w:rsid w:val="153437B5"/>
    <w:rsid w:val="15352837"/>
    <w:rsid w:val="15CF658A"/>
    <w:rsid w:val="16096967"/>
    <w:rsid w:val="16280F0E"/>
    <w:rsid w:val="16773104"/>
    <w:rsid w:val="16773CC5"/>
    <w:rsid w:val="1681405A"/>
    <w:rsid w:val="16CD3E38"/>
    <w:rsid w:val="17991F6C"/>
    <w:rsid w:val="1A514D80"/>
    <w:rsid w:val="1AA2382E"/>
    <w:rsid w:val="1AF5570C"/>
    <w:rsid w:val="1B093ED2"/>
    <w:rsid w:val="1B6A434C"/>
    <w:rsid w:val="1B7D22FF"/>
    <w:rsid w:val="1BE20386"/>
    <w:rsid w:val="1BF14125"/>
    <w:rsid w:val="1CD04682"/>
    <w:rsid w:val="1CF3344E"/>
    <w:rsid w:val="1D7E27F7"/>
    <w:rsid w:val="1DB47B00"/>
    <w:rsid w:val="1E5170FD"/>
    <w:rsid w:val="1ECB655F"/>
    <w:rsid w:val="1F307A44"/>
    <w:rsid w:val="20F546B7"/>
    <w:rsid w:val="20FA7F20"/>
    <w:rsid w:val="21F7620D"/>
    <w:rsid w:val="21F834D4"/>
    <w:rsid w:val="2373137C"/>
    <w:rsid w:val="23DC390D"/>
    <w:rsid w:val="25A25AE9"/>
    <w:rsid w:val="25E847EB"/>
    <w:rsid w:val="25F81D52"/>
    <w:rsid w:val="26EC7F13"/>
    <w:rsid w:val="270728C6"/>
    <w:rsid w:val="27165388"/>
    <w:rsid w:val="27690F4B"/>
    <w:rsid w:val="27802801"/>
    <w:rsid w:val="278F53FE"/>
    <w:rsid w:val="27F51441"/>
    <w:rsid w:val="284952E9"/>
    <w:rsid w:val="285F2D5E"/>
    <w:rsid w:val="28E3573D"/>
    <w:rsid w:val="293B7327"/>
    <w:rsid w:val="294D6828"/>
    <w:rsid w:val="29F01EC0"/>
    <w:rsid w:val="2BCA6741"/>
    <w:rsid w:val="2C21682A"/>
    <w:rsid w:val="2C275941"/>
    <w:rsid w:val="2C4713CA"/>
    <w:rsid w:val="2CD31625"/>
    <w:rsid w:val="2CD86C3B"/>
    <w:rsid w:val="2DBFC56F"/>
    <w:rsid w:val="2ED86CDE"/>
    <w:rsid w:val="2EF37D5C"/>
    <w:rsid w:val="2F5C7919"/>
    <w:rsid w:val="2FC82F97"/>
    <w:rsid w:val="303B19BB"/>
    <w:rsid w:val="30A529EC"/>
    <w:rsid w:val="314F3970"/>
    <w:rsid w:val="33400CB2"/>
    <w:rsid w:val="33443DFD"/>
    <w:rsid w:val="335E60EC"/>
    <w:rsid w:val="33637AAE"/>
    <w:rsid w:val="33AF26D2"/>
    <w:rsid w:val="346534AA"/>
    <w:rsid w:val="35115975"/>
    <w:rsid w:val="352E1AEE"/>
    <w:rsid w:val="35C943C7"/>
    <w:rsid w:val="35E623C9"/>
    <w:rsid w:val="3639699D"/>
    <w:rsid w:val="368C11C2"/>
    <w:rsid w:val="37040D59"/>
    <w:rsid w:val="374750E9"/>
    <w:rsid w:val="37487A89"/>
    <w:rsid w:val="38091F94"/>
    <w:rsid w:val="38D1110E"/>
    <w:rsid w:val="3A0E2CD3"/>
    <w:rsid w:val="3A2B450A"/>
    <w:rsid w:val="3A3F654C"/>
    <w:rsid w:val="3A437DEA"/>
    <w:rsid w:val="3A492D08"/>
    <w:rsid w:val="3AC23405"/>
    <w:rsid w:val="3C0F09EE"/>
    <w:rsid w:val="3C3259E4"/>
    <w:rsid w:val="3C7D6B65"/>
    <w:rsid w:val="3C977148"/>
    <w:rsid w:val="3CEC4769"/>
    <w:rsid w:val="3D3C3FAC"/>
    <w:rsid w:val="3D606F05"/>
    <w:rsid w:val="3D91DED8"/>
    <w:rsid w:val="3DE3655C"/>
    <w:rsid w:val="3E043D34"/>
    <w:rsid w:val="3E3143FD"/>
    <w:rsid w:val="3F410B04"/>
    <w:rsid w:val="3F47212A"/>
    <w:rsid w:val="3F577E93"/>
    <w:rsid w:val="3F636838"/>
    <w:rsid w:val="3F8F710F"/>
    <w:rsid w:val="3FA255B3"/>
    <w:rsid w:val="4172399F"/>
    <w:rsid w:val="41E30F6B"/>
    <w:rsid w:val="423E60F1"/>
    <w:rsid w:val="424C2DC1"/>
    <w:rsid w:val="42A833D4"/>
    <w:rsid w:val="437E370B"/>
    <w:rsid w:val="44A8366B"/>
    <w:rsid w:val="45FD0DA7"/>
    <w:rsid w:val="469F45FA"/>
    <w:rsid w:val="4789686B"/>
    <w:rsid w:val="47F6649C"/>
    <w:rsid w:val="48931F3C"/>
    <w:rsid w:val="48AE6D76"/>
    <w:rsid w:val="48CC36A0"/>
    <w:rsid w:val="49461945"/>
    <w:rsid w:val="49543008"/>
    <w:rsid w:val="49DE368B"/>
    <w:rsid w:val="49F2A904"/>
    <w:rsid w:val="4A802787"/>
    <w:rsid w:val="4AF34F14"/>
    <w:rsid w:val="4BC44BC8"/>
    <w:rsid w:val="4C035E32"/>
    <w:rsid w:val="4D0A340F"/>
    <w:rsid w:val="4E8D38D2"/>
    <w:rsid w:val="4EFD45B3"/>
    <w:rsid w:val="4FAD6743"/>
    <w:rsid w:val="4FF359B6"/>
    <w:rsid w:val="50362FDB"/>
    <w:rsid w:val="50E84DEF"/>
    <w:rsid w:val="514A5AAA"/>
    <w:rsid w:val="515561AF"/>
    <w:rsid w:val="515F79A1"/>
    <w:rsid w:val="51654692"/>
    <w:rsid w:val="52D53899"/>
    <w:rsid w:val="53A07C03"/>
    <w:rsid w:val="53B65679"/>
    <w:rsid w:val="544E127D"/>
    <w:rsid w:val="54E0475B"/>
    <w:rsid w:val="54FA2378"/>
    <w:rsid w:val="552F56E3"/>
    <w:rsid w:val="55E71B19"/>
    <w:rsid w:val="57511CD6"/>
    <w:rsid w:val="577D6BBF"/>
    <w:rsid w:val="57FD73D2"/>
    <w:rsid w:val="58B57C68"/>
    <w:rsid w:val="58E40592"/>
    <w:rsid w:val="595945AA"/>
    <w:rsid w:val="596E221B"/>
    <w:rsid w:val="5A3D3F9C"/>
    <w:rsid w:val="5B557525"/>
    <w:rsid w:val="5C2C472A"/>
    <w:rsid w:val="5C6C7319"/>
    <w:rsid w:val="5C7560D1"/>
    <w:rsid w:val="5CDA5F34"/>
    <w:rsid w:val="5D2E6280"/>
    <w:rsid w:val="5D393143"/>
    <w:rsid w:val="5DAA3B58"/>
    <w:rsid w:val="5EFD1D0D"/>
    <w:rsid w:val="5F2C3102"/>
    <w:rsid w:val="5F316ADD"/>
    <w:rsid w:val="5F426012"/>
    <w:rsid w:val="5FD471B1"/>
    <w:rsid w:val="600B4656"/>
    <w:rsid w:val="60292EFE"/>
    <w:rsid w:val="603D7F82"/>
    <w:rsid w:val="60830691"/>
    <w:rsid w:val="612104D3"/>
    <w:rsid w:val="613D4CE3"/>
    <w:rsid w:val="61A46B11"/>
    <w:rsid w:val="61AE798F"/>
    <w:rsid w:val="61B01959"/>
    <w:rsid w:val="6263077A"/>
    <w:rsid w:val="62726C0F"/>
    <w:rsid w:val="638657EA"/>
    <w:rsid w:val="63A46718"/>
    <w:rsid w:val="64AD2180"/>
    <w:rsid w:val="655824F4"/>
    <w:rsid w:val="67753429"/>
    <w:rsid w:val="679E5541"/>
    <w:rsid w:val="67A6234B"/>
    <w:rsid w:val="67ED3D46"/>
    <w:rsid w:val="68081F9E"/>
    <w:rsid w:val="68AA0EB0"/>
    <w:rsid w:val="69014BE1"/>
    <w:rsid w:val="69AF4654"/>
    <w:rsid w:val="69C064B2"/>
    <w:rsid w:val="69C45FA2"/>
    <w:rsid w:val="69E20AE6"/>
    <w:rsid w:val="6BDD77EF"/>
    <w:rsid w:val="6C240F7A"/>
    <w:rsid w:val="6C7815AC"/>
    <w:rsid w:val="6C831EE7"/>
    <w:rsid w:val="6D635AD2"/>
    <w:rsid w:val="6D661D6B"/>
    <w:rsid w:val="6DB52E56"/>
    <w:rsid w:val="6DB61BAA"/>
    <w:rsid w:val="6DD72EE3"/>
    <w:rsid w:val="6DF46B20"/>
    <w:rsid w:val="6E46167B"/>
    <w:rsid w:val="6E9F2B3A"/>
    <w:rsid w:val="6EE3511C"/>
    <w:rsid w:val="6F2471E8"/>
    <w:rsid w:val="6FAD74D8"/>
    <w:rsid w:val="6FFFA748"/>
    <w:rsid w:val="705067E1"/>
    <w:rsid w:val="706F2BB3"/>
    <w:rsid w:val="709527F8"/>
    <w:rsid w:val="71687B5B"/>
    <w:rsid w:val="71E13469"/>
    <w:rsid w:val="721455EC"/>
    <w:rsid w:val="72DB610A"/>
    <w:rsid w:val="72DB62A8"/>
    <w:rsid w:val="72EB16A8"/>
    <w:rsid w:val="73184D2F"/>
    <w:rsid w:val="73263829"/>
    <w:rsid w:val="737267C7"/>
    <w:rsid w:val="73F5FBB6"/>
    <w:rsid w:val="743F3941"/>
    <w:rsid w:val="7472484C"/>
    <w:rsid w:val="74D15A17"/>
    <w:rsid w:val="74E63FB7"/>
    <w:rsid w:val="7523119F"/>
    <w:rsid w:val="75732440"/>
    <w:rsid w:val="75DE663D"/>
    <w:rsid w:val="765B45FB"/>
    <w:rsid w:val="7662101C"/>
    <w:rsid w:val="772A85CC"/>
    <w:rsid w:val="77BA6C36"/>
    <w:rsid w:val="77FD8568"/>
    <w:rsid w:val="784371DB"/>
    <w:rsid w:val="7A6115EB"/>
    <w:rsid w:val="7B3D7962"/>
    <w:rsid w:val="7B9A218B"/>
    <w:rsid w:val="7BE356B3"/>
    <w:rsid w:val="7CEE1E19"/>
    <w:rsid w:val="7D513011"/>
    <w:rsid w:val="7EFB72BB"/>
    <w:rsid w:val="7F122200"/>
    <w:rsid w:val="7F8C710A"/>
    <w:rsid w:val="7FD9F30A"/>
    <w:rsid w:val="7FDBFB12"/>
    <w:rsid w:val="7FF83C99"/>
    <w:rsid w:val="7FF90088"/>
    <w:rsid w:val="ABDF8284"/>
    <w:rsid w:val="BBFF60D2"/>
    <w:rsid w:val="BEB8F20F"/>
    <w:rsid w:val="BF3E9965"/>
    <w:rsid w:val="BFBF86C4"/>
    <w:rsid w:val="C8DF894B"/>
    <w:rsid w:val="D7FE89A5"/>
    <w:rsid w:val="D7FF3E86"/>
    <w:rsid w:val="E7F658E4"/>
    <w:rsid w:val="F69737C9"/>
    <w:rsid w:val="F72EEECD"/>
    <w:rsid w:val="FAFD7B53"/>
    <w:rsid w:val="FBE23515"/>
    <w:rsid w:val="FE74196B"/>
    <w:rsid w:val="FECF5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9" w:semiHidden="0" w:name="heading 6"/>
    <w:lsdException w:qFormat="1"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1"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60" w:lineRule="auto"/>
      <w:ind w:left="200" w:leftChars="200"/>
    </w:pPr>
    <w:rPr>
      <w:rFonts w:ascii="Times New Roman" w:hAnsi="Times New Roman" w:eastAsia="宋体" w:cs="宋体"/>
      <w:sz w:val="24"/>
      <w:szCs w:val="24"/>
      <w:lang w:val="en-US" w:eastAsia="zh-CN" w:bidi="ar-SA"/>
    </w:rPr>
  </w:style>
  <w:style w:type="paragraph" w:styleId="4">
    <w:name w:val="heading 1"/>
    <w:basedOn w:val="1"/>
    <w:next w:val="1"/>
    <w:link w:val="46"/>
    <w:qFormat/>
    <w:uiPriority w:val="9"/>
    <w:pPr>
      <w:keepNext/>
      <w:keepLines/>
      <w:numPr>
        <w:ilvl w:val="0"/>
        <w:numId w:val="1"/>
      </w:numPr>
      <w:spacing w:before="240" w:line="276" w:lineRule="auto"/>
      <w:ind w:left="0" w:leftChars="0"/>
      <w:outlineLvl w:val="0"/>
    </w:pPr>
    <w:rPr>
      <w:rFonts w:ascii="Microsoft YaHei UI" w:hAnsi="Microsoft YaHei UI" w:eastAsia="Microsoft YaHei UI" w:cstheme="majorBidi"/>
      <w:sz w:val="32"/>
      <w:szCs w:val="32"/>
    </w:rPr>
  </w:style>
  <w:style w:type="paragraph" w:styleId="5">
    <w:name w:val="heading 2"/>
    <w:basedOn w:val="1"/>
    <w:next w:val="1"/>
    <w:link w:val="47"/>
    <w:unhideWhenUsed/>
    <w:qFormat/>
    <w:uiPriority w:val="9"/>
    <w:pPr>
      <w:keepNext/>
      <w:keepLines/>
      <w:numPr>
        <w:ilvl w:val="1"/>
        <w:numId w:val="1"/>
      </w:numPr>
      <w:spacing w:before="40" w:line="276" w:lineRule="auto"/>
      <w:ind w:left="0" w:leftChars="0"/>
      <w:outlineLvl w:val="1"/>
    </w:pPr>
    <w:rPr>
      <w:rFonts w:ascii="Microsoft YaHei UI" w:hAnsi="Microsoft YaHei UI" w:eastAsia="Microsoft YaHei UI" w:cstheme="majorBidi"/>
      <w:sz w:val="26"/>
      <w:szCs w:val="26"/>
    </w:rPr>
  </w:style>
  <w:style w:type="paragraph" w:styleId="6">
    <w:name w:val="heading 3"/>
    <w:basedOn w:val="1"/>
    <w:next w:val="1"/>
    <w:link w:val="49"/>
    <w:unhideWhenUsed/>
    <w:qFormat/>
    <w:uiPriority w:val="0"/>
    <w:pPr>
      <w:keepNext/>
      <w:keepLines/>
      <w:numPr>
        <w:ilvl w:val="2"/>
        <w:numId w:val="1"/>
      </w:numPr>
      <w:spacing w:before="40" w:line="276" w:lineRule="auto"/>
      <w:ind w:left="0" w:leftChars="0"/>
      <w:outlineLvl w:val="2"/>
    </w:pPr>
    <w:rPr>
      <w:rFonts w:ascii="Microsoft YaHei UI" w:hAnsi="Microsoft YaHei UI" w:eastAsia="Microsoft YaHei UI" w:cstheme="majorBidi"/>
    </w:rPr>
  </w:style>
  <w:style w:type="paragraph" w:styleId="7">
    <w:name w:val="heading 4"/>
    <w:basedOn w:val="1"/>
    <w:next w:val="1"/>
    <w:link w:val="52"/>
    <w:unhideWhenUsed/>
    <w:qFormat/>
    <w:uiPriority w:val="0"/>
    <w:pPr>
      <w:keepNext/>
      <w:keepLines/>
      <w:numPr>
        <w:ilvl w:val="3"/>
        <w:numId w:val="1"/>
      </w:numPr>
      <w:spacing w:before="40" w:line="276" w:lineRule="auto"/>
      <w:ind w:left="0" w:leftChars="0"/>
      <w:outlineLvl w:val="3"/>
    </w:pPr>
    <w:rPr>
      <w:rFonts w:ascii="Microsoft YaHei UI" w:hAnsi="Microsoft YaHei UI" w:eastAsia="Microsoft YaHei UI" w:cstheme="majorBidi"/>
      <w:i/>
      <w:iCs/>
    </w:rPr>
  </w:style>
  <w:style w:type="paragraph" w:styleId="8">
    <w:name w:val="heading 5"/>
    <w:basedOn w:val="1"/>
    <w:next w:val="1"/>
    <w:link w:val="70"/>
    <w:unhideWhenUsed/>
    <w:qFormat/>
    <w:uiPriority w:val="0"/>
    <w:pPr>
      <w:keepNext/>
      <w:keepLines/>
      <w:widowControl w:val="0"/>
      <w:snapToGrid w:val="0"/>
      <w:spacing w:before="120" w:after="120"/>
      <w:ind w:left="1008" w:leftChars="0" w:hanging="497"/>
      <w:jc w:val="both"/>
      <w:outlineLvl w:val="4"/>
    </w:pPr>
    <w:rPr>
      <w:rFonts w:ascii="Calibri" w:hAnsi="Calibri" w:cs="Times New Roman"/>
      <w:b/>
      <w:kern w:val="2"/>
      <w:sz w:val="28"/>
      <w:szCs w:val="22"/>
      <w:lang w:bidi="he-IL"/>
    </w:rPr>
  </w:style>
  <w:style w:type="paragraph" w:styleId="9">
    <w:name w:val="heading 6"/>
    <w:basedOn w:val="1"/>
    <w:next w:val="1"/>
    <w:link w:val="71"/>
    <w:unhideWhenUsed/>
    <w:qFormat/>
    <w:uiPriority w:val="9"/>
    <w:pPr>
      <w:keepNext/>
      <w:keepLines/>
      <w:widowControl w:val="0"/>
      <w:spacing w:before="240" w:after="64" w:line="320" w:lineRule="auto"/>
      <w:ind w:left="0" w:leftChars="0"/>
      <w:jc w:val="both"/>
      <w:outlineLvl w:val="5"/>
    </w:pPr>
    <w:rPr>
      <w:rFonts w:asciiTheme="majorHAnsi" w:hAnsiTheme="majorHAnsi" w:eastAsiaTheme="majorEastAsia" w:cstheme="majorBidi"/>
      <w:b/>
      <w:bCs/>
      <w:kern w:val="2"/>
    </w:rPr>
  </w:style>
  <w:style w:type="paragraph" w:styleId="10">
    <w:name w:val="heading 7"/>
    <w:basedOn w:val="1"/>
    <w:next w:val="1"/>
    <w:link w:val="72"/>
    <w:unhideWhenUsed/>
    <w:qFormat/>
    <w:uiPriority w:val="1"/>
    <w:pPr>
      <w:keepNext/>
      <w:keepLines/>
      <w:widowControl w:val="0"/>
      <w:spacing w:before="240" w:after="64" w:line="320" w:lineRule="auto"/>
      <w:ind w:left="0" w:leftChars="0"/>
      <w:jc w:val="both"/>
      <w:outlineLvl w:val="6"/>
    </w:pPr>
    <w:rPr>
      <w:rFonts w:ascii="Calibri" w:hAnsi="Calibri" w:cs="Times New Roman"/>
      <w:b/>
      <w:bCs/>
      <w:kern w:val="2"/>
    </w:rPr>
  </w:style>
  <w:style w:type="paragraph" w:styleId="11">
    <w:name w:val="heading 8"/>
    <w:basedOn w:val="1"/>
    <w:link w:val="73"/>
    <w:qFormat/>
    <w:uiPriority w:val="1"/>
    <w:pPr>
      <w:widowControl w:val="0"/>
      <w:autoSpaceDE w:val="0"/>
      <w:autoSpaceDN w:val="0"/>
      <w:ind w:left="779" w:leftChars="0"/>
      <w:outlineLvl w:val="7"/>
    </w:pPr>
    <w:rPr>
      <w:rFonts w:ascii="Heiti SC" w:hAnsi="Heiti SC" w:eastAsia="Heiti SC" w:cs="Heiti SC"/>
      <w:b/>
      <w:bCs/>
      <w:lang w:eastAsia="en-US"/>
    </w:rPr>
  </w:style>
  <w:style w:type="character" w:default="1" w:styleId="37">
    <w:name w:val="Default Paragraph Font"/>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2">
    <w:name w:val="Body Text First Indent"/>
    <w:basedOn w:val="3"/>
    <w:next w:val="1"/>
    <w:uiPriority w:val="0"/>
    <w:pPr>
      <w:spacing w:line="312" w:lineRule="auto"/>
      <w:ind w:firstLine="420"/>
    </w:pPr>
    <w:rPr>
      <w:rFonts w:ascii="Times New Roman" w:hAnsi="Times New Roman" w:eastAsia="Times New Roman" w:cs="Times New Roman"/>
    </w:rPr>
  </w:style>
  <w:style w:type="paragraph" w:styleId="3">
    <w:name w:val="Body Text"/>
    <w:basedOn w:val="1"/>
    <w:next w:val="1"/>
    <w:link w:val="77"/>
    <w:unhideWhenUsed/>
    <w:qFormat/>
    <w:uiPriority w:val="1"/>
    <w:pPr>
      <w:widowControl w:val="0"/>
      <w:spacing w:after="120"/>
      <w:ind w:left="0" w:leftChars="0"/>
      <w:jc w:val="both"/>
    </w:pPr>
    <w:rPr>
      <w:rFonts w:ascii="Calibri" w:hAnsi="Calibri" w:cs="Times New Roman"/>
      <w:kern w:val="2"/>
      <w:szCs w:val="22"/>
    </w:rPr>
  </w:style>
  <w:style w:type="paragraph" w:styleId="12">
    <w:name w:val="toc 7"/>
    <w:basedOn w:val="1"/>
    <w:next w:val="1"/>
    <w:unhideWhenUsed/>
    <w:qFormat/>
    <w:uiPriority w:val="39"/>
    <w:pPr>
      <w:spacing w:line="276" w:lineRule="auto"/>
      <w:ind w:left="1440" w:firstLine="432"/>
    </w:pPr>
    <w:rPr>
      <w:rFonts w:eastAsia="Microsoft YaHei UI" w:asciiTheme="minorHAnsi" w:hAnsiTheme="minorHAnsi" w:cstheme="minorHAnsi"/>
      <w:sz w:val="18"/>
      <w:szCs w:val="18"/>
    </w:rPr>
  </w:style>
  <w:style w:type="paragraph" w:styleId="13">
    <w:name w:val="Normal Indent"/>
    <w:basedOn w:val="1"/>
    <w:link w:val="75"/>
    <w:unhideWhenUsed/>
    <w:qFormat/>
    <w:uiPriority w:val="0"/>
    <w:pPr>
      <w:widowControl w:val="0"/>
      <w:ind w:left="0" w:leftChars="0" w:firstLine="420" w:firstLineChars="200"/>
      <w:jc w:val="both"/>
    </w:pPr>
    <w:rPr>
      <w:rFonts w:ascii="Calibri" w:hAnsi="Calibri" w:cs="Times New Roman"/>
      <w:kern w:val="2"/>
      <w:szCs w:val="22"/>
    </w:rPr>
  </w:style>
  <w:style w:type="paragraph" w:styleId="14">
    <w:name w:val="annotation text"/>
    <w:basedOn w:val="1"/>
    <w:link w:val="83"/>
    <w:unhideWhenUsed/>
    <w:qFormat/>
    <w:uiPriority w:val="99"/>
  </w:style>
  <w:style w:type="paragraph" w:styleId="15">
    <w:name w:val="Body Text Indent"/>
    <w:basedOn w:val="1"/>
    <w:link w:val="74"/>
    <w:unhideWhenUsed/>
    <w:qFormat/>
    <w:uiPriority w:val="0"/>
    <w:pPr>
      <w:widowControl w:val="0"/>
      <w:spacing w:after="120"/>
      <w:ind w:left="420"/>
      <w:jc w:val="both"/>
    </w:pPr>
    <w:rPr>
      <w:rFonts w:ascii="Calibri" w:hAnsi="Calibri" w:cs="Times New Roman"/>
      <w:kern w:val="2"/>
      <w:szCs w:val="22"/>
    </w:rPr>
  </w:style>
  <w:style w:type="paragraph" w:styleId="16">
    <w:name w:val="toc 5"/>
    <w:basedOn w:val="1"/>
    <w:next w:val="1"/>
    <w:unhideWhenUsed/>
    <w:qFormat/>
    <w:uiPriority w:val="39"/>
    <w:pPr>
      <w:spacing w:line="276" w:lineRule="auto"/>
      <w:ind w:left="960" w:firstLine="432"/>
    </w:pPr>
    <w:rPr>
      <w:rFonts w:eastAsia="Microsoft YaHei UI" w:asciiTheme="minorHAnsi" w:hAnsiTheme="minorHAnsi" w:cstheme="minorHAnsi"/>
      <w:sz w:val="18"/>
      <w:szCs w:val="18"/>
    </w:rPr>
  </w:style>
  <w:style w:type="paragraph" w:styleId="17">
    <w:name w:val="toc 3"/>
    <w:basedOn w:val="1"/>
    <w:next w:val="1"/>
    <w:unhideWhenUsed/>
    <w:qFormat/>
    <w:uiPriority w:val="39"/>
    <w:pPr>
      <w:spacing w:line="276" w:lineRule="auto"/>
      <w:ind w:left="480" w:firstLine="432"/>
    </w:pPr>
    <w:rPr>
      <w:rFonts w:eastAsia="Microsoft YaHei UI" w:asciiTheme="minorHAnsi" w:hAnsiTheme="minorHAnsi" w:cstheme="minorHAnsi"/>
      <w:i/>
      <w:iCs/>
      <w:sz w:val="20"/>
      <w:szCs w:val="20"/>
    </w:rPr>
  </w:style>
  <w:style w:type="paragraph" w:styleId="18">
    <w:name w:val="Plain Text"/>
    <w:basedOn w:val="1"/>
    <w:uiPriority w:val="0"/>
    <w:rPr>
      <w:rFonts w:ascii="宋体" w:hAnsi="Courier New" w:eastAsia="Times New Roman" w:cs="Times New Roman"/>
      <w:kern w:val="4"/>
      <w:szCs w:val="20"/>
    </w:rPr>
  </w:style>
  <w:style w:type="paragraph" w:styleId="19">
    <w:name w:val="toc 8"/>
    <w:basedOn w:val="1"/>
    <w:next w:val="1"/>
    <w:unhideWhenUsed/>
    <w:qFormat/>
    <w:uiPriority w:val="39"/>
    <w:pPr>
      <w:spacing w:line="276" w:lineRule="auto"/>
      <w:ind w:left="1680" w:firstLine="432"/>
    </w:pPr>
    <w:rPr>
      <w:rFonts w:eastAsia="Microsoft YaHei UI" w:asciiTheme="minorHAnsi" w:hAnsiTheme="minorHAnsi" w:cstheme="minorHAnsi"/>
      <w:sz w:val="18"/>
      <w:szCs w:val="18"/>
    </w:rPr>
  </w:style>
  <w:style w:type="paragraph" w:styleId="20">
    <w:name w:val="Date"/>
    <w:basedOn w:val="1"/>
    <w:next w:val="1"/>
    <w:link w:val="54"/>
    <w:unhideWhenUsed/>
    <w:qFormat/>
    <w:uiPriority w:val="99"/>
    <w:pPr>
      <w:spacing w:before="120" w:line="276" w:lineRule="auto"/>
      <w:ind w:left="100" w:leftChars="2500" w:firstLine="432"/>
    </w:pPr>
    <w:rPr>
      <w:rFonts w:ascii="Microsoft YaHei UI" w:hAnsi="Microsoft YaHei UI" w:eastAsia="Microsoft YaHei UI" w:cstheme="minorBidi"/>
    </w:rPr>
  </w:style>
  <w:style w:type="paragraph" w:styleId="21">
    <w:name w:val="Body Text Indent 2"/>
    <w:basedOn w:val="1"/>
    <w:next w:val="22"/>
    <w:qFormat/>
    <w:uiPriority w:val="0"/>
    <w:pPr>
      <w:spacing w:after="120" w:line="480" w:lineRule="auto"/>
      <w:ind w:left="420" w:leftChars="200"/>
    </w:pPr>
  </w:style>
  <w:style w:type="paragraph" w:styleId="22">
    <w:name w:val="header"/>
    <w:basedOn w:val="1"/>
    <w:link w:val="59"/>
    <w:unhideWhenUsed/>
    <w:qFormat/>
    <w:uiPriority w:val="99"/>
    <w:pPr>
      <w:pBdr>
        <w:bottom w:val="single" w:color="auto" w:sz="6" w:space="1"/>
      </w:pBdr>
      <w:tabs>
        <w:tab w:val="center" w:pos="4153"/>
        <w:tab w:val="right" w:pos="8306"/>
      </w:tabs>
      <w:snapToGrid w:val="0"/>
      <w:spacing w:before="120"/>
      <w:ind w:firstLine="432"/>
      <w:jc w:val="center"/>
    </w:pPr>
    <w:rPr>
      <w:rFonts w:ascii="Microsoft YaHei UI" w:hAnsi="Microsoft YaHei UI" w:eastAsia="Microsoft YaHei UI" w:cstheme="minorBidi"/>
      <w:sz w:val="18"/>
      <w:szCs w:val="18"/>
    </w:rPr>
  </w:style>
  <w:style w:type="paragraph" w:styleId="23">
    <w:name w:val="Balloon Text"/>
    <w:basedOn w:val="1"/>
    <w:link w:val="61"/>
    <w:semiHidden/>
    <w:unhideWhenUsed/>
    <w:qFormat/>
    <w:uiPriority w:val="99"/>
    <w:rPr>
      <w:sz w:val="18"/>
      <w:szCs w:val="18"/>
    </w:rPr>
  </w:style>
  <w:style w:type="paragraph" w:styleId="24">
    <w:name w:val="footer"/>
    <w:basedOn w:val="1"/>
    <w:link w:val="60"/>
    <w:unhideWhenUsed/>
    <w:qFormat/>
    <w:uiPriority w:val="99"/>
    <w:pPr>
      <w:tabs>
        <w:tab w:val="center" w:pos="4153"/>
        <w:tab w:val="right" w:pos="8306"/>
      </w:tabs>
      <w:snapToGrid w:val="0"/>
      <w:spacing w:before="120"/>
      <w:ind w:firstLine="432"/>
    </w:pPr>
    <w:rPr>
      <w:rFonts w:ascii="Microsoft YaHei UI" w:hAnsi="Microsoft YaHei UI" w:eastAsia="Microsoft YaHei UI" w:cstheme="minorBidi"/>
      <w:sz w:val="18"/>
      <w:szCs w:val="18"/>
    </w:rPr>
  </w:style>
  <w:style w:type="paragraph" w:styleId="25">
    <w:name w:val="toc 1"/>
    <w:basedOn w:val="1"/>
    <w:next w:val="1"/>
    <w:unhideWhenUsed/>
    <w:qFormat/>
    <w:uiPriority w:val="39"/>
    <w:pPr>
      <w:spacing w:before="120" w:after="120" w:line="276" w:lineRule="auto"/>
      <w:ind w:firstLine="432"/>
    </w:pPr>
    <w:rPr>
      <w:rFonts w:eastAsia="Microsoft YaHei UI" w:asciiTheme="minorHAnsi" w:hAnsiTheme="minorHAnsi" w:cstheme="minorHAnsi"/>
      <w:b/>
      <w:bCs/>
      <w:caps/>
      <w:sz w:val="20"/>
      <w:szCs w:val="20"/>
    </w:rPr>
  </w:style>
  <w:style w:type="paragraph" w:styleId="26">
    <w:name w:val="toc 4"/>
    <w:basedOn w:val="1"/>
    <w:next w:val="1"/>
    <w:unhideWhenUsed/>
    <w:qFormat/>
    <w:uiPriority w:val="39"/>
    <w:pPr>
      <w:spacing w:line="276" w:lineRule="auto"/>
      <w:ind w:left="720" w:firstLine="432"/>
    </w:pPr>
    <w:rPr>
      <w:rFonts w:eastAsia="Microsoft YaHei UI" w:asciiTheme="minorHAnsi" w:hAnsiTheme="minorHAnsi" w:cstheme="minorHAnsi"/>
      <w:sz w:val="18"/>
      <w:szCs w:val="18"/>
    </w:rPr>
  </w:style>
  <w:style w:type="paragraph" w:styleId="27">
    <w:name w:val="toc 6"/>
    <w:basedOn w:val="1"/>
    <w:next w:val="1"/>
    <w:unhideWhenUsed/>
    <w:qFormat/>
    <w:uiPriority w:val="39"/>
    <w:pPr>
      <w:spacing w:line="276" w:lineRule="auto"/>
      <w:ind w:left="1200" w:firstLine="432"/>
    </w:pPr>
    <w:rPr>
      <w:rFonts w:eastAsia="Microsoft YaHei UI" w:asciiTheme="minorHAnsi" w:hAnsiTheme="minorHAnsi" w:cstheme="minorHAnsi"/>
      <w:sz w:val="18"/>
      <w:szCs w:val="18"/>
    </w:rPr>
  </w:style>
  <w:style w:type="paragraph" w:styleId="28">
    <w:name w:val="toc 2"/>
    <w:basedOn w:val="1"/>
    <w:next w:val="1"/>
    <w:unhideWhenUsed/>
    <w:qFormat/>
    <w:uiPriority w:val="39"/>
    <w:pPr>
      <w:spacing w:line="276" w:lineRule="auto"/>
      <w:ind w:left="240" w:firstLine="432"/>
    </w:pPr>
    <w:rPr>
      <w:rFonts w:eastAsia="Microsoft YaHei UI" w:asciiTheme="minorHAnsi" w:hAnsiTheme="minorHAnsi" w:cstheme="minorHAnsi"/>
      <w:smallCaps/>
      <w:sz w:val="20"/>
      <w:szCs w:val="20"/>
    </w:rPr>
  </w:style>
  <w:style w:type="paragraph" w:styleId="29">
    <w:name w:val="toc 9"/>
    <w:basedOn w:val="1"/>
    <w:next w:val="1"/>
    <w:unhideWhenUsed/>
    <w:qFormat/>
    <w:uiPriority w:val="39"/>
    <w:pPr>
      <w:spacing w:line="276" w:lineRule="auto"/>
      <w:ind w:left="1920" w:firstLine="432"/>
    </w:pPr>
    <w:rPr>
      <w:rFonts w:eastAsia="Microsoft YaHei UI" w:asciiTheme="minorHAnsi" w:hAnsiTheme="minorHAnsi" w:cstheme="minorHAnsi"/>
      <w:sz w:val="18"/>
      <w:szCs w:val="18"/>
    </w:rPr>
  </w:style>
  <w:style w:type="paragraph" w:styleId="30">
    <w:name w:val="HTML Preformatted"/>
    <w:basedOn w:val="1"/>
    <w:link w:val="6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pPr>
  </w:style>
  <w:style w:type="paragraph" w:styleId="31">
    <w:name w:val="Normal (Web)"/>
    <w:basedOn w:val="1"/>
    <w:unhideWhenUsed/>
    <w:qFormat/>
    <w:uiPriority w:val="99"/>
    <w:pPr>
      <w:spacing w:before="100" w:beforeAutospacing="1" w:after="100" w:afterAutospacing="1"/>
      <w:ind w:left="0" w:leftChars="0"/>
    </w:pPr>
  </w:style>
  <w:style w:type="paragraph" w:styleId="32">
    <w:name w:val="Title"/>
    <w:basedOn w:val="1"/>
    <w:next w:val="1"/>
    <w:link w:val="45"/>
    <w:qFormat/>
    <w:uiPriority w:val="10"/>
    <w:pPr>
      <w:spacing w:before="120" w:line="276" w:lineRule="auto"/>
      <w:ind w:firstLine="432"/>
      <w:contextualSpacing/>
      <w:jc w:val="center"/>
    </w:pPr>
    <w:rPr>
      <w:rFonts w:ascii="Microsoft YaHei UI" w:hAnsi="Microsoft YaHei UI" w:eastAsia="Microsoft YaHei UI" w:cstheme="majorBidi"/>
      <w:spacing w:val="-10"/>
      <w:kern w:val="28"/>
      <w:sz w:val="56"/>
      <w:szCs w:val="56"/>
    </w:rPr>
  </w:style>
  <w:style w:type="paragraph" w:styleId="33">
    <w:name w:val="annotation subject"/>
    <w:basedOn w:val="14"/>
    <w:next w:val="14"/>
    <w:link w:val="84"/>
    <w:semiHidden/>
    <w:unhideWhenUsed/>
    <w:uiPriority w:val="99"/>
    <w:rPr>
      <w:b/>
      <w:bCs/>
    </w:rPr>
  </w:style>
  <w:style w:type="paragraph" w:styleId="34">
    <w:name w:val="Body Text First Indent 2"/>
    <w:basedOn w:val="15"/>
    <w:link w:val="76"/>
    <w:qFormat/>
    <w:uiPriority w:val="0"/>
    <w:pPr>
      <w:ind w:firstLine="420" w:firstLineChars="200"/>
    </w:pPr>
  </w:style>
  <w:style w:type="table" w:styleId="36">
    <w:name w:val="Table Grid"/>
    <w:basedOn w:val="3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basedOn w:val="37"/>
    <w:qFormat/>
    <w:uiPriority w:val="22"/>
    <w:rPr>
      <w:b/>
      <w:bCs/>
    </w:rPr>
  </w:style>
  <w:style w:type="character" w:styleId="39">
    <w:name w:val="page number"/>
    <w:uiPriority w:val="0"/>
    <w:rPr>
      <w:rFonts w:ascii="Times New Roman" w:hAnsi="Times New Roman" w:eastAsia="Times New Roman" w:cs="Times New Roman"/>
    </w:rPr>
  </w:style>
  <w:style w:type="character" w:styleId="40">
    <w:name w:val="FollowedHyperlink"/>
    <w:basedOn w:val="37"/>
    <w:semiHidden/>
    <w:unhideWhenUsed/>
    <w:uiPriority w:val="99"/>
    <w:rPr>
      <w:color w:val="954F72"/>
      <w:u w:val="single"/>
    </w:rPr>
  </w:style>
  <w:style w:type="character" w:styleId="41">
    <w:name w:val="Hyperlink"/>
    <w:basedOn w:val="37"/>
    <w:unhideWhenUsed/>
    <w:qFormat/>
    <w:uiPriority w:val="99"/>
    <w:rPr>
      <w:color w:val="0563C1" w:themeColor="hyperlink"/>
      <w:u w:val="single"/>
      <w14:textFill>
        <w14:solidFill>
          <w14:schemeClr w14:val="hlink"/>
        </w14:solidFill>
      </w14:textFill>
    </w:rPr>
  </w:style>
  <w:style w:type="character" w:styleId="42">
    <w:name w:val="HTML Code"/>
    <w:basedOn w:val="37"/>
    <w:semiHidden/>
    <w:unhideWhenUsed/>
    <w:uiPriority w:val="99"/>
    <w:rPr>
      <w:rFonts w:ascii="宋体" w:hAnsi="宋体" w:eastAsia="宋体" w:cs="宋体"/>
      <w:sz w:val="24"/>
      <w:szCs w:val="24"/>
    </w:rPr>
  </w:style>
  <w:style w:type="character" w:styleId="43">
    <w:name w:val="annotation reference"/>
    <w:basedOn w:val="37"/>
    <w:unhideWhenUsed/>
    <w:qFormat/>
    <w:uiPriority w:val="99"/>
    <w:rPr>
      <w:sz w:val="21"/>
      <w:szCs w:val="21"/>
    </w:rPr>
  </w:style>
  <w:style w:type="paragraph" w:customStyle="1" w:styleId="44">
    <w:name w:val="无间隔1"/>
    <w:qFormat/>
    <w:uiPriority w:val="1"/>
    <w:rPr>
      <w:rFonts w:asciiTheme="minorHAnsi" w:hAnsiTheme="minorHAnsi" w:eastAsiaTheme="minorEastAsia" w:cstheme="minorBidi"/>
      <w:sz w:val="24"/>
      <w:szCs w:val="24"/>
      <w:lang w:val="en-US" w:eastAsia="zh-CN" w:bidi="ar-SA"/>
    </w:rPr>
  </w:style>
  <w:style w:type="character" w:customStyle="1" w:styleId="45">
    <w:name w:val="标题 字符"/>
    <w:basedOn w:val="37"/>
    <w:link w:val="32"/>
    <w:qFormat/>
    <w:uiPriority w:val="10"/>
    <w:rPr>
      <w:rFonts w:ascii="Microsoft YaHei UI" w:hAnsi="Microsoft YaHei UI" w:eastAsia="Microsoft YaHei UI" w:cstheme="majorBidi"/>
      <w:spacing w:val="-10"/>
      <w:kern w:val="28"/>
      <w:sz w:val="56"/>
      <w:szCs w:val="56"/>
    </w:rPr>
  </w:style>
  <w:style w:type="character" w:customStyle="1" w:styleId="46">
    <w:name w:val="标题 1 字符"/>
    <w:basedOn w:val="37"/>
    <w:link w:val="4"/>
    <w:qFormat/>
    <w:uiPriority w:val="9"/>
    <w:rPr>
      <w:rFonts w:ascii="Microsoft YaHei UI" w:hAnsi="Microsoft YaHei UI" w:eastAsia="Microsoft YaHei UI" w:cstheme="majorBidi"/>
      <w:sz w:val="32"/>
      <w:szCs w:val="32"/>
    </w:rPr>
  </w:style>
  <w:style w:type="character" w:customStyle="1" w:styleId="47">
    <w:name w:val="标题 2 字符"/>
    <w:basedOn w:val="37"/>
    <w:link w:val="5"/>
    <w:qFormat/>
    <w:uiPriority w:val="9"/>
    <w:rPr>
      <w:rFonts w:ascii="Microsoft YaHei UI" w:hAnsi="Microsoft YaHei UI" w:eastAsia="Microsoft YaHei UI" w:cstheme="majorBidi"/>
      <w:sz w:val="26"/>
      <w:szCs w:val="26"/>
    </w:rPr>
  </w:style>
  <w:style w:type="paragraph" w:customStyle="1" w:styleId="48">
    <w:name w:val="列表段落1"/>
    <w:basedOn w:val="1"/>
    <w:qFormat/>
    <w:uiPriority w:val="34"/>
    <w:pPr>
      <w:spacing w:before="120" w:line="276" w:lineRule="auto"/>
      <w:ind w:left="720" w:firstLine="432"/>
      <w:contextualSpacing/>
    </w:pPr>
    <w:rPr>
      <w:rFonts w:ascii="Microsoft YaHei UI" w:hAnsi="Microsoft YaHei UI" w:eastAsia="Microsoft YaHei UI" w:cstheme="minorBidi"/>
    </w:rPr>
  </w:style>
  <w:style w:type="character" w:customStyle="1" w:styleId="49">
    <w:name w:val="标题 3 字符"/>
    <w:basedOn w:val="37"/>
    <w:link w:val="6"/>
    <w:qFormat/>
    <w:uiPriority w:val="0"/>
    <w:rPr>
      <w:rFonts w:ascii="Microsoft YaHei UI" w:hAnsi="Microsoft YaHei UI" w:eastAsia="Microsoft YaHei UI" w:cstheme="majorBidi"/>
      <w:sz w:val="24"/>
      <w:szCs w:val="24"/>
    </w:rPr>
  </w:style>
  <w:style w:type="paragraph" w:customStyle="1" w:styleId="50">
    <w:name w:val="项目符号"/>
    <w:basedOn w:val="1"/>
    <w:link w:val="51"/>
    <w:qFormat/>
    <w:uiPriority w:val="0"/>
    <w:pPr>
      <w:numPr>
        <w:ilvl w:val="0"/>
        <w:numId w:val="2"/>
      </w:numPr>
      <w:snapToGrid w:val="0"/>
      <w:spacing w:before="80" w:after="80"/>
    </w:pPr>
    <w:rPr>
      <w:rFonts w:ascii="Arial" w:hAnsi="Arial"/>
      <w:bCs/>
      <w:color w:val="000000"/>
      <w:szCs w:val="21"/>
    </w:rPr>
  </w:style>
  <w:style w:type="character" w:customStyle="1" w:styleId="51">
    <w:name w:val="项目符号 字符"/>
    <w:link w:val="50"/>
    <w:qFormat/>
    <w:uiPriority w:val="0"/>
    <w:rPr>
      <w:rFonts w:ascii="Arial" w:hAnsi="Arial" w:cs="宋体"/>
      <w:bCs/>
      <w:color w:val="000000"/>
      <w:sz w:val="24"/>
      <w:szCs w:val="21"/>
    </w:rPr>
  </w:style>
  <w:style w:type="character" w:customStyle="1" w:styleId="52">
    <w:name w:val="标题 4 字符"/>
    <w:basedOn w:val="37"/>
    <w:link w:val="7"/>
    <w:qFormat/>
    <w:uiPriority w:val="0"/>
    <w:rPr>
      <w:rFonts w:ascii="Microsoft YaHei UI" w:hAnsi="Microsoft YaHei UI" w:eastAsia="Microsoft YaHei UI" w:cstheme="majorBidi"/>
      <w:i/>
      <w:iCs/>
      <w:sz w:val="24"/>
      <w:szCs w:val="24"/>
    </w:rPr>
  </w:style>
  <w:style w:type="paragraph" w:customStyle="1" w:styleId="53">
    <w:name w:val="修订1"/>
    <w:hidden/>
    <w:semiHidden/>
    <w:qFormat/>
    <w:uiPriority w:val="99"/>
    <w:rPr>
      <w:rFonts w:ascii="Microsoft YaHei UI" w:hAnsi="Microsoft YaHei UI" w:eastAsia="Microsoft YaHei UI" w:cstheme="minorBidi"/>
      <w:sz w:val="24"/>
      <w:szCs w:val="24"/>
      <w:lang w:val="en-US" w:eastAsia="zh-CN" w:bidi="ar-SA"/>
    </w:rPr>
  </w:style>
  <w:style w:type="character" w:customStyle="1" w:styleId="54">
    <w:name w:val="日期 字符"/>
    <w:basedOn w:val="37"/>
    <w:link w:val="20"/>
    <w:semiHidden/>
    <w:qFormat/>
    <w:uiPriority w:val="99"/>
    <w:rPr>
      <w:rFonts w:ascii="Microsoft YaHei UI" w:hAnsi="Microsoft YaHei UI" w:eastAsia="Microsoft YaHei UI"/>
    </w:rPr>
  </w:style>
  <w:style w:type="paragraph" w:customStyle="1" w:styleId="55">
    <w:name w:val="TOC 标题1"/>
    <w:basedOn w:val="4"/>
    <w:next w:val="1"/>
    <w:unhideWhenUsed/>
    <w:qFormat/>
    <w:uiPriority w:val="39"/>
    <w:pPr>
      <w:numPr>
        <w:numId w:val="0"/>
      </w:numPr>
      <w:spacing w:before="480"/>
      <w:outlineLvl w:val="9"/>
    </w:pPr>
    <w:rPr>
      <w:rFonts w:asciiTheme="majorHAnsi" w:hAnsiTheme="majorHAnsi" w:eastAsiaTheme="majorEastAsia"/>
      <w:b/>
      <w:bCs/>
      <w:sz w:val="28"/>
      <w:szCs w:val="28"/>
    </w:rPr>
  </w:style>
  <w:style w:type="paragraph" w:customStyle="1" w:styleId="56">
    <w:name w:val="TOC 标题2"/>
    <w:basedOn w:val="4"/>
    <w:next w:val="1"/>
    <w:unhideWhenUsed/>
    <w:qFormat/>
    <w:uiPriority w:val="39"/>
    <w:pPr>
      <w:numPr>
        <w:numId w:val="0"/>
      </w:numPr>
      <w:spacing w:before="480"/>
      <w:outlineLvl w:val="9"/>
    </w:pPr>
    <w:rPr>
      <w:rFonts w:asciiTheme="majorHAnsi" w:hAnsiTheme="majorHAnsi" w:eastAsiaTheme="majorEastAsia"/>
      <w:b/>
      <w:bCs/>
      <w:sz w:val="28"/>
      <w:szCs w:val="28"/>
    </w:rPr>
  </w:style>
  <w:style w:type="paragraph" w:customStyle="1" w:styleId="57">
    <w:name w:val="修订2"/>
    <w:hidden/>
    <w:semiHidden/>
    <w:qFormat/>
    <w:uiPriority w:val="99"/>
    <w:rPr>
      <w:rFonts w:ascii="Microsoft YaHei UI" w:hAnsi="Microsoft YaHei UI" w:eastAsia="Microsoft YaHei UI" w:cstheme="minorBidi"/>
      <w:sz w:val="24"/>
      <w:szCs w:val="24"/>
      <w:lang w:val="en-US" w:eastAsia="zh-CN" w:bidi="ar-SA"/>
    </w:rPr>
  </w:style>
  <w:style w:type="paragraph" w:styleId="58">
    <w:name w:val="List Paragraph"/>
    <w:basedOn w:val="1"/>
    <w:link w:val="78"/>
    <w:qFormat/>
    <w:uiPriority w:val="99"/>
    <w:pPr>
      <w:spacing w:before="120" w:line="276" w:lineRule="auto"/>
      <w:ind w:firstLine="420" w:firstLineChars="200"/>
    </w:pPr>
    <w:rPr>
      <w:rFonts w:ascii="Microsoft YaHei UI" w:hAnsi="Microsoft YaHei UI" w:eastAsia="Microsoft YaHei UI" w:cstheme="minorBidi"/>
    </w:rPr>
  </w:style>
  <w:style w:type="character" w:customStyle="1" w:styleId="59">
    <w:name w:val="页眉 字符"/>
    <w:basedOn w:val="37"/>
    <w:link w:val="22"/>
    <w:qFormat/>
    <w:uiPriority w:val="99"/>
    <w:rPr>
      <w:rFonts w:ascii="Microsoft YaHei UI" w:hAnsi="Microsoft YaHei UI" w:eastAsia="Microsoft YaHei UI" w:cstheme="minorBidi"/>
      <w:sz w:val="18"/>
      <w:szCs w:val="18"/>
    </w:rPr>
  </w:style>
  <w:style w:type="character" w:customStyle="1" w:styleId="60">
    <w:name w:val="页脚 字符"/>
    <w:basedOn w:val="37"/>
    <w:link w:val="24"/>
    <w:qFormat/>
    <w:uiPriority w:val="99"/>
    <w:rPr>
      <w:rFonts w:ascii="Microsoft YaHei UI" w:hAnsi="Microsoft YaHei UI" w:eastAsia="Microsoft YaHei UI" w:cstheme="minorBidi"/>
      <w:sz w:val="18"/>
      <w:szCs w:val="18"/>
    </w:rPr>
  </w:style>
  <w:style w:type="character" w:customStyle="1" w:styleId="61">
    <w:name w:val="批注框文本 字符"/>
    <w:basedOn w:val="37"/>
    <w:link w:val="23"/>
    <w:semiHidden/>
    <w:qFormat/>
    <w:uiPriority w:val="99"/>
    <w:rPr>
      <w:rFonts w:ascii="Microsoft YaHei UI" w:hAnsi="Microsoft YaHei UI" w:eastAsia="Microsoft YaHei UI" w:cstheme="minorBidi"/>
      <w:sz w:val="18"/>
      <w:szCs w:val="18"/>
    </w:rPr>
  </w:style>
  <w:style w:type="paragraph" w:customStyle="1" w:styleId="62">
    <w:name w:val="WPSOffice手动目录 1"/>
    <w:uiPriority w:val="0"/>
    <w:rPr>
      <w:rFonts w:ascii="Times New Roman" w:hAnsi="Times New Roman" w:eastAsia="宋体" w:cs="Times New Roman"/>
      <w:lang w:val="en-US" w:eastAsia="zh-CN" w:bidi="ar-SA"/>
    </w:rPr>
  </w:style>
  <w:style w:type="paragraph" w:customStyle="1" w:styleId="63">
    <w:name w:val="WPSOffice手动目录 2"/>
    <w:uiPriority w:val="0"/>
    <w:pPr>
      <w:ind w:left="200" w:leftChars="200"/>
    </w:pPr>
    <w:rPr>
      <w:rFonts w:ascii="Times New Roman" w:hAnsi="Times New Roman" w:eastAsia="宋体" w:cs="Times New Roman"/>
      <w:lang w:val="en-US" w:eastAsia="zh-CN" w:bidi="ar-SA"/>
    </w:rPr>
  </w:style>
  <w:style w:type="paragraph" w:customStyle="1" w:styleId="64">
    <w:name w:val="WPSOffice手动目录 3"/>
    <w:uiPriority w:val="0"/>
    <w:pPr>
      <w:ind w:left="400" w:leftChars="400"/>
    </w:pPr>
    <w:rPr>
      <w:rFonts w:ascii="Times New Roman" w:hAnsi="Times New Roman" w:eastAsia="宋体" w:cs="Times New Roman"/>
      <w:lang w:val="en-US" w:eastAsia="zh-CN" w:bidi="ar-SA"/>
    </w:rPr>
  </w:style>
  <w:style w:type="character" w:customStyle="1" w:styleId="65">
    <w:name w:val="HTML 预设格式 字符"/>
    <w:basedOn w:val="37"/>
    <w:link w:val="30"/>
    <w:semiHidden/>
    <w:uiPriority w:val="99"/>
    <w:rPr>
      <w:rFonts w:ascii="宋体" w:hAnsi="宋体" w:cs="宋体"/>
      <w:sz w:val="24"/>
      <w:szCs w:val="24"/>
    </w:rPr>
  </w:style>
  <w:style w:type="character" w:customStyle="1" w:styleId="66">
    <w:name w:val="hljs-keyword"/>
    <w:basedOn w:val="37"/>
    <w:uiPriority w:val="0"/>
  </w:style>
  <w:style w:type="character" w:customStyle="1" w:styleId="67">
    <w:name w:val="hljs-number"/>
    <w:basedOn w:val="37"/>
    <w:uiPriority w:val="0"/>
  </w:style>
  <w:style w:type="character" w:customStyle="1" w:styleId="68">
    <w:name w:val="hljs-operator"/>
    <w:basedOn w:val="37"/>
    <w:uiPriority w:val="0"/>
  </w:style>
  <w:style w:type="character" w:customStyle="1" w:styleId="69">
    <w:name w:val="token"/>
    <w:basedOn w:val="37"/>
    <w:uiPriority w:val="0"/>
  </w:style>
  <w:style w:type="character" w:customStyle="1" w:styleId="70">
    <w:name w:val="标题 5 字符"/>
    <w:basedOn w:val="37"/>
    <w:link w:val="8"/>
    <w:uiPriority w:val="9"/>
    <w:rPr>
      <w:rFonts w:ascii="Calibri" w:hAnsi="Calibri"/>
      <w:b/>
      <w:kern w:val="2"/>
      <w:sz w:val="28"/>
      <w:szCs w:val="22"/>
      <w:lang w:bidi="he-IL"/>
    </w:rPr>
  </w:style>
  <w:style w:type="character" w:customStyle="1" w:styleId="71">
    <w:name w:val="标题 6 字符"/>
    <w:basedOn w:val="37"/>
    <w:link w:val="9"/>
    <w:uiPriority w:val="9"/>
    <w:rPr>
      <w:rFonts w:asciiTheme="majorHAnsi" w:hAnsiTheme="majorHAnsi" w:eastAsiaTheme="majorEastAsia" w:cstheme="majorBidi"/>
      <w:b/>
      <w:bCs/>
      <w:kern w:val="2"/>
      <w:sz w:val="24"/>
      <w:szCs w:val="24"/>
    </w:rPr>
  </w:style>
  <w:style w:type="character" w:customStyle="1" w:styleId="72">
    <w:name w:val="标题 7 字符"/>
    <w:basedOn w:val="37"/>
    <w:link w:val="10"/>
    <w:uiPriority w:val="1"/>
    <w:rPr>
      <w:rFonts w:ascii="Calibri" w:hAnsi="Calibri"/>
      <w:b/>
      <w:bCs/>
      <w:kern w:val="2"/>
      <w:sz w:val="24"/>
      <w:szCs w:val="24"/>
    </w:rPr>
  </w:style>
  <w:style w:type="character" w:customStyle="1" w:styleId="73">
    <w:name w:val="标题 8 字符"/>
    <w:basedOn w:val="37"/>
    <w:link w:val="11"/>
    <w:uiPriority w:val="1"/>
    <w:rPr>
      <w:rFonts w:ascii="Heiti SC" w:hAnsi="Heiti SC" w:eastAsia="Heiti SC" w:cs="Heiti SC"/>
      <w:b/>
      <w:bCs/>
      <w:sz w:val="24"/>
      <w:szCs w:val="24"/>
      <w:lang w:eastAsia="en-US"/>
    </w:rPr>
  </w:style>
  <w:style w:type="character" w:customStyle="1" w:styleId="74">
    <w:name w:val="正文文本缩进 字符"/>
    <w:basedOn w:val="37"/>
    <w:link w:val="15"/>
    <w:uiPriority w:val="0"/>
    <w:rPr>
      <w:rFonts w:ascii="Calibri" w:hAnsi="Calibri"/>
      <w:kern w:val="2"/>
      <w:sz w:val="24"/>
      <w:szCs w:val="22"/>
    </w:rPr>
  </w:style>
  <w:style w:type="character" w:customStyle="1" w:styleId="75">
    <w:name w:val="正文缩进 字符"/>
    <w:link w:val="13"/>
    <w:qFormat/>
    <w:uiPriority w:val="0"/>
    <w:rPr>
      <w:rFonts w:ascii="Calibri" w:hAnsi="Calibri"/>
      <w:kern w:val="2"/>
      <w:sz w:val="24"/>
      <w:szCs w:val="22"/>
    </w:rPr>
  </w:style>
  <w:style w:type="character" w:customStyle="1" w:styleId="76">
    <w:name w:val="正文文本首行缩进 2 字符"/>
    <w:basedOn w:val="74"/>
    <w:link w:val="34"/>
    <w:uiPriority w:val="0"/>
    <w:rPr>
      <w:rFonts w:ascii="Calibri" w:hAnsi="Calibri"/>
      <w:kern w:val="2"/>
      <w:sz w:val="24"/>
      <w:szCs w:val="22"/>
    </w:rPr>
  </w:style>
  <w:style w:type="character" w:customStyle="1" w:styleId="77">
    <w:name w:val="正文文本 字符"/>
    <w:basedOn w:val="37"/>
    <w:link w:val="3"/>
    <w:uiPriority w:val="1"/>
    <w:rPr>
      <w:rFonts w:ascii="Calibri" w:hAnsi="Calibri"/>
      <w:kern w:val="2"/>
      <w:sz w:val="24"/>
      <w:szCs w:val="22"/>
    </w:rPr>
  </w:style>
  <w:style w:type="character" w:customStyle="1" w:styleId="78">
    <w:name w:val="列表段落 字符"/>
    <w:basedOn w:val="37"/>
    <w:link w:val="58"/>
    <w:uiPriority w:val="34"/>
    <w:rPr>
      <w:rFonts w:ascii="Microsoft YaHei UI" w:hAnsi="Microsoft YaHei UI" w:eastAsia="Microsoft YaHei UI" w:cstheme="minorBidi"/>
      <w:sz w:val="24"/>
      <w:szCs w:val="24"/>
    </w:rPr>
  </w:style>
  <w:style w:type="paragraph" w:customStyle="1" w:styleId="79">
    <w:name w:val="paragraph"/>
    <w:basedOn w:val="1"/>
    <w:semiHidden/>
    <w:uiPriority w:val="0"/>
    <w:pPr>
      <w:spacing w:before="100" w:beforeAutospacing="1" w:after="100" w:afterAutospacing="1"/>
      <w:ind w:left="0" w:leftChars="0"/>
    </w:pPr>
    <w:rPr>
      <w:rFonts w:ascii="等线" w:hAnsi="等线" w:eastAsia="等线" w:cs="Times New Roman"/>
    </w:rPr>
  </w:style>
  <w:style w:type="paragraph" w:customStyle="1" w:styleId="80">
    <w:name w:val="Table Paragraph"/>
    <w:basedOn w:val="1"/>
    <w:qFormat/>
    <w:uiPriority w:val="1"/>
    <w:pPr>
      <w:widowControl w:val="0"/>
      <w:autoSpaceDE w:val="0"/>
      <w:autoSpaceDN w:val="0"/>
      <w:ind w:left="0" w:leftChars="0"/>
    </w:pPr>
    <w:rPr>
      <w:rFonts w:ascii="Arial Unicode MS" w:hAnsi="Arial Unicode MS" w:eastAsia="Arial Unicode MS" w:cs="Arial Unicode MS"/>
      <w:sz w:val="22"/>
      <w:szCs w:val="22"/>
      <w:lang w:eastAsia="en-US"/>
    </w:rPr>
  </w:style>
  <w:style w:type="paragraph" w:customStyle="1" w:styleId="81">
    <w:name w:val="彩色列表 - 强调文字颜色 111"/>
    <w:basedOn w:val="1"/>
    <w:qFormat/>
    <w:uiPriority w:val="34"/>
    <w:pPr>
      <w:widowControl w:val="0"/>
      <w:ind w:left="0" w:leftChars="0" w:firstLine="420" w:firstLineChars="200"/>
      <w:jc w:val="both"/>
    </w:pPr>
    <w:rPr>
      <w:rFonts w:ascii="Calibri" w:hAnsi="Calibri" w:cs="Times New Roman"/>
      <w:kern w:val="2"/>
      <w:szCs w:val="22"/>
    </w:rPr>
  </w:style>
  <w:style w:type="character" w:customStyle="1" w:styleId="82">
    <w:name w:val="Unresolved Mention"/>
    <w:basedOn w:val="37"/>
    <w:semiHidden/>
    <w:unhideWhenUsed/>
    <w:uiPriority w:val="99"/>
    <w:rPr>
      <w:color w:val="605E5C"/>
      <w:shd w:val="clear" w:color="auto" w:fill="E1DFDD"/>
    </w:rPr>
  </w:style>
  <w:style w:type="character" w:customStyle="1" w:styleId="83">
    <w:name w:val="批注文字 字符"/>
    <w:basedOn w:val="37"/>
    <w:link w:val="14"/>
    <w:uiPriority w:val="99"/>
    <w:rPr>
      <w:rFonts w:cs="宋体"/>
      <w:sz w:val="24"/>
      <w:szCs w:val="24"/>
    </w:rPr>
  </w:style>
  <w:style w:type="character" w:customStyle="1" w:styleId="84">
    <w:name w:val="批注主题 字符"/>
    <w:basedOn w:val="83"/>
    <w:link w:val="33"/>
    <w:semiHidden/>
    <w:uiPriority w:val="99"/>
    <w:rPr>
      <w:rFonts w:cs="宋体"/>
      <w:b/>
      <w:bCs/>
      <w:sz w:val="24"/>
      <w:szCs w:val="24"/>
    </w:rPr>
  </w:style>
  <w:style w:type="paragraph" w:customStyle="1" w:styleId="85">
    <w:name w:val="p0"/>
    <w:basedOn w:val="1"/>
    <w:qFormat/>
    <w:uiPriority w:val="0"/>
    <w:pPr>
      <w:ind w:left="0" w:leftChars="0"/>
      <w:jc w:val="both"/>
    </w:pPr>
    <w:rPr>
      <w:rFonts w:cs="Times New Roman"/>
      <w:sz w:val="21"/>
      <w:szCs w:val="21"/>
    </w:rPr>
  </w:style>
  <w:style w:type="character" w:customStyle="1" w:styleId="86">
    <w:name w:val="font11"/>
    <w:qFormat/>
    <w:uiPriority w:val="0"/>
    <w:rPr>
      <w:rFonts w:hint="eastAsia" w:ascii="仿宋" w:hAnsi="仿宋" w:eastAsia="仿宋" w:cs="仿宋"/>
      <w:color w:val="FF0000"/>
      <w:sz w:val="20"/>
      <w:szCs w:val="20"/>
      <w:u w:val="none"/>
      <w:lang w:val="en-US" w:eastAsia="zh-CN" w:bidi="ar-SA"/>
    </w:rPr>
  </w:style>
  <w:style w:type="character" w:customStyle="1" w:styleId="87">
    <w:name w:val="批注文字 字符1"/>
    <w:qFormat/>
    <w:locked/>
    <w:uiPriority w:val="99"/>
    <w:rPr>
      <w:sz w:val="24"/>
    </w:rPr>
  </w:style>
  <w:style w:type="character" w:customStyle="1" w:styleId="88">
    <w:name w:val="refindex___in7zn"/>
    <w:basedOn w:val="37"/>
    <w:uiPriority w:val="0"/>
  </w:style>
  <w:style w:type="paragraph" w:customStyle="1" w:styleId="89">
    <w:name w:val="msonormal"/>
    <w:basedOn w:val="1"/>
    <w:uiPriority w:val="0"/>
    <w:pPr>
      <w:spacing w:before="100" w:beforeAutospacing="1" w:after="100" w:afterAutospacing="1" w:line="240" w:lineRule="auto"/>
      <w:ind w:left="0" w:leftChars="0"/>
    </w:pPr>
    <w:rPr>
      <w:rFonts w:ascii="PMingLiU" w:hAnsi="PMingLiU" w:eastAsia="PMingLiU" w:cs="PMingLiU"/>
      <w:lang w:eastAsia="zh-TW"/>
    </w:rPr>
  </w:style>
  <w:style w:type="paragraph" w:customStyle="1" w:styleId="90">
    <w:name w:val="font5"/>
    <w:basedOn w:val="1"/>
    <w:uiPriority w:val="0"/>
    <w:pPr>
      <w:spacing w:before="100" w:beforeAutospacing="1" w:after="100" w:afterAutospacing="1" w:line="240" w:lineRule="auto"/>
      <w:ind w:left="0" w:leftChars="0"/>
    </w:pPr>
    <w:rPr>
      <w:rFonts w:ascii="PMingLiU" w:hAnsi="PMingLiU" w:eastAsia="PMingLiU" w:cs="PMingLiU"/>
      <w:sz w:val="18"/>
      <w:szCs w:val="18"/>
      <w:lang w:eastAsia="zh-TW"/>
    </w:rPr>
  </w:style>
  <w:style w:type="paragraph" w:customStyle="1" w:styleId="91">
    <w:name w:val="font6"/>
    <w:basedOn w:val="1"/>
    <w:uiPriority w:val="0"/>
    <w:pPr>
      <w:spacing w:before="100" w:beforeAutospacing="1" w:after="100" w:afterAutospacing="1" w:line="240" w:lineRule="auto"/>
      <w:ind w:left="0" w:leftChars="0"/>
    </w:pPr>
    <w:rPr>
      <w:rFonts w:ascii="仿宋" w:hAnsi="仿宋" w:eastAsia="仿宋" w:cs="PMingLiU"/>
      <w:color w:val="000000"/>
      <w:lang w:eastAsia="zh-TW"/>
    </w:rPr>
  </w:style>
  <w:style w:type="paragraph" w:customStyle="1" w:styleId="92">
    <w:name w:val="font7"/>
    <w:basedOn w:val="1"/>
    <w:uiPriority w:val="0"/>
    <w:pPr>
      <w:spacing w:before="100" w:beforeAutospacing="1" w:after="100" w:afterAutospacing="1" w:line="240" w:lineRule="auto"/>
      <w:ind w:left="0" w:leftChars="0"/>
    </w:pPr>
    <w:rPr>
      <w:rFonts w:ascii="Segoe UI Symbol" w:hAnsi="Segoe UI Symbol" w:eastAsia="PMingLiU" w:cs="PMingLiU"/>
      <w:color w:val="000000"/>
      <w:sz w:val="20"/>
      <w:szCs w:val="20"/>
      <w:lang w:eastAsia="zh-TW"/>
    </w:rPr>
  </w:style>
  <w:style w:type="paragraph" w:customStyle="1" w:styleId="93">
    <w:name w:val="font8"/>
    <w:basedOn w:val="1"/>
    <w:uiPriority w:val="0"/>
    <w:pPr>
      <w:spacing w:before="100" w:beforeAutospacing="1" w:after="100" w:afterAutospacing="1" w:line="240" w:lineRule="auto"/>
      <w:ind w:left="0" w:leftChars="0"/>
    </w:pPr>
    <w:rPr>
      <w:rFonts w:ascii="微软雅黑" w:hAnsi="微软雅黑" w:eastAsia="微软雅黑" w:cs="PMingLiU"/>
      <w:color w:val="000000"/>
      <w:sz w:val="20"/>
      <w:szCs w:val="20"/>
      <w:lang w:eastAsia="zh-TW"/>
    </w:rPr>
  </w:style>
  <w:style w:type="paragraph" w:customStyle="1" w:styleId="94">
    <w:name w:val="font9"/>
    <w:basedOn w:val="1"/>
    <w:uiPriority w:val="0"/>
    <w:pPr>
      <w:spacing w:before="100" w:beforeAutospacing="1" w:after="100" w:afterAutospacing="1" w:line="240" w:lineRule="auto"/>
      <w:ind w:left="0" w:leftChars="0"/>
    </w:pPr>
    <w:rPr>
      <w:rFonts w:ascii="Calibri" w:hAnsi="Calibri" w:eastAsia="PMingLiU" w:cs="Calibri"/>
      <w:color w:val="000000"/>
      <w:sz w:val="20"/>
      <w:szCs w:val="20"/>
      <w:lang w:eastAsia="zh-TW"/>
    </w:rPr>
  </w:style>
  <w:style w:type="paragraph" w:customStyle="1" w:styleId="95">
    <w:name w:val="xl6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leftChars="0"/>
    </w:pPr>
    <w:rPr>
      <w:rFonts w:ascii="PMingLiU" w:hAnsi="PMingLiU" w:eastAsia="PMingLiU" w:cs="PMingLiU"/>
      <w:lang w:eastAsia="zh-TW"/>
    </w:rPr>
  </w:style>
  <w:style w:type="paragraph" w:customStyle="1" w:styleId="96">
    <w:name w:val="xl6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leftChars="0"/>
    </w:pPr>
    <w:rPr>
      <w:rFonts w:ascii="PMingLiU" w:hAnsi="PMingLiU" w:eastAsia="PMingLiU" w:cs="PMingLiU"/>
      <w:lang w:eastAsia="zh-TW"/>
    </w:rPr>
  </w:style>
  <w:style w:type="paragraph" w:customStyle="1" w:styleId="97">
    <w:name w:val="xl67"/>
    <w:basedOn w:val="1"/>
    <w:uiPriority w:val="0"/>
    <w:pPr>
      <w:spacing w:before="100" w:beforeAutospacing="1" w:after="100" w:afterAutospacing="1" w:line="240" w:lineRule="auto"/>
      <w:ind w:left="0" w:leftChars="0"/>
    </w:pPr>
    <w:rPr>
      <w:rFonts w:ascii="PMingLiU" w:hAnsi="PMingLiU" w:eastAsia="PMingLiU" w:cs="PMingLiU"/>
      <w:lang w:eastAsia="zh-TW"/>
    </w:rPr>
  </w:style>
  <w:style w:type="paragraph" w:customStyle="1" w:styleId="98">
    <w:name w:val="xl6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leftChars="0"/>
    </w:pPr>
    <w:rPr>
      <w:rFonts w:ascii="PMingLiU" w:hAnsi="PMingLiU" w:eastAsia="PMingLiU" w:cs="PMingLiU"/>
      <w:b/>
      <w:bCs/>
      <w:lang w:eastAsia="zh-TW"/>
    </w:rPr>
  </w:style>
  <w:style w:type="paragraph" w:customStyle="1" w:styleId="99">
    <w:name w:val="xl6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leftChars="0"/>
    </w:pPr>
    <w:rPr>
      <w:rFonts w:ascii="PMingLiU" w:hAnsi="PMingLiU" w:eastAsia="PMingLiU" w:cs="PMingLiU"/>
      <w:b/>
      <w:bCs/>
      <w:lang w:eastAsia="zh-TW"/>
    </w:rPr>
  </w:style>
  <w:style w:type="paragraph" w:customStyle="1" w:styleId="100">
    <w:name w:val="xl7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leftChars="0"/>
    </w:pPr>
    <w:rPr>
      <w:rFonts w:ascii="微软雅黑" w:hAnsi="微软雅黑" w:eastAsia="微软雅黑" w:cs="PMingLiU"/>
      <w:lang w:eastAsia="zh-TW"/>
    </w:rPr>
  </w:style>
  <w:style w:type="paragraph" w:customStyle="1" w:styleId="101">
    <w:name w:val="xl71"/>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left="0" w:leftChars="0"/>
    </w:pPr>
    <w:rPr>
      <w:rFonts w:ascii="PMingLiU" w:hAnsi="PMingLiU" w:eastAsia="PMingLiU" w:cs="PMingLiU"/>
      <w:lang w:eastAsia="zh-TW"/>
    </w:rPr>
  </w:style>
  <w:style w:type="paragraph" w:customStyle="1" w:styleId="102">
    <w:name w:val="全文正文"/>
    <w:basedOn w:val="1"/>
    <w:uiPriority w:val="0"/>
    <w:pPr>
      <w:spacing w:line="360" w:lineRule="auto"/>
      <w:ind w:firstLine="480" w:firstLineChars="200"/>
    </w:pPr>
    <w:rPr>
      <w:rFonts w:ascii="Times New Roman" w:hAnsi="Times New Roman" w:eastAsia="Times New Roman" w:cs="Times New Roman"/>
      <w:sz w:val="24"/>
    </w:rPr>
  </w:style>
  <w:style w:type="paragraph" w:customStyle="1" w:styleId="103">
    <w:name w:val="三级标题"/>
    <w:basedOn w:val="18"/>
    <w:uiPriority w:val="0"/>
    <w:pPr>
      <w:topLinePunct/>
      <w:spacing w:before="50" w:after="50"/>
      <w:ind w:firstLine="200" w:firstLineChars="200"/>
    </w:pPr>
    <w:rPr>
      <w:rFonts w:ascii="Times New Roman" w:hAnsi="Times New Roman" w:eastAsia="Times New Roman" w:cs="Times New Roman"/>
    </w:rPr>
  </w:style>
  <w:style w:type="paragraph" w:customStyle="1" w:styleId="104">
    <w:name w:val="Default"/>
    <w:basedOn w:val="105"/>
    <w:next w:val="3"/>
    <w:uiPriority w:val="0"/>
    <w:pPr>
      <w:widowControl w:val="0"/>
      <w:autoSpaceDE w:val="0"/>
      <w:autoSpaceDN w:val="0"/>
      <w:adjustRightInd w:val="0"/>
    </w:pPr>
    <w:rPr>
      <w:rFonts w:hint="eastAsia" w:ascii="宋体" w:hAnsi="宋体"/>
      <w:color w:val="000000"/>
      <w:sz w:val="24"/>
      <w:szCs w:val="22"/>
      <w:lang w:val="en-US" w:eastAsia="zh-CN" w:bidi="ar-SA"/>
    </w:rPr>
  </w:style>
  <w:style w:type="paragraph" w:customStyle="1" w:styleId="105">
    <w:name w:val="批注文字1"/>
    <w:qFormat/>
    <w:uiPriority w:val="0"/>
    <w:pPr>
      <w:widowControl w:val="0"/>
    </w:pPr>
    <w:rPr>
      <w:rFonts w:ascii="Times New Roman" w:hAnsi="Times New Roman" w:eastAsia="宋体" w:cs="Times New Roman"/>
      <w:color w:val="000000"/>
      <w:kern w:val="2"/>
      <w:sz w:val="21"/>
      <w:szCs w:val="24"/>
      <w:lang w:val="en-US" w:eastAsia="zh-CN" w:bidi="ar-SA"/>
    </w:rPr>
  </w:style>
  <w:style w:type="paragraph" w:customStyle="1" w:styleId="106">
    <w:name w:val="列出段落1"/>
    <w:basedOn w:val="1"/>
    <w:uiPriority w:val="0"/>
    <w:pPr>
      <w:ind w:firstLine="420" w:firstLineChars="200"/>
    </w:pPr>
    <w:rPr>
      <w:rFonts w:ascii="Times New Roman" w:hAnsi="Times New Roman" w:eastAsia="Times New Roman" w:cs="Times New Roman"/>
      <w:szCs w:val="20"/>
    </w:rPr>
  </w:style>
  <w:style w:type="paragraph" w:customStyle="1" w:styleId="107">
    <w:name w:val="_Style 1"/>
    <w:basedOn w:val="1"/>
    <w:uiPriority w:val="0"/>
    <w:pPr>
      <w:ind w:firstLine="420" w:firstLineChars="200"/>
    </w:pPr>
    <w:rPr>
      <w:rFonts w:ascii="Times New Roman" w:hAnsi="Times New Roman" w:eastAsia="Times New Roman"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tyleName="APA" SelectedStyle="\APASixthEditionOfficeOnline.xsl"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259D32-6240-4AEC-9941-C2C4E5F29238}">
  <ds:schemaRefs/>
</ds:datastoreItem>
</file>

<file path=docProps/app.xml><?xml version="1.0" encoding="utf-8"?>
<Properties xmlns="http://schemas.openxmlformats.org/officeDocument/2006/extended-properties" xmlns:vt="http://schemas.openxmlformats.org/officeDocument/2006/docPropsVTypes">
  <Template>Normal</Template>
  <Company>DataPipeline</Company>
  <Pages>44</Pages>
  <Words>237</Words>
  <Characters>1352</Characters>
  <Lines>11</Lines>
  <Paragraphs>3</Paragraphs>
  <TotalTime>0</TotalTime>
  <ScaleCrop>false</ScaleCrop>
  <LinksUpToDate>false</LinksUpToDate>
  <CharactersWithSpaces>1586</CharactersWithSpaces>
  <Application>WPS Office_7.3.0.8966_F1E327BC-269C-435d-A152-05C5408002CA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售前资产</cp:category>
  <dcterms:created xsi:type="dcterms:W3CDTF">2024-10-12T17:51:00Z</dcterms:created>
  <dc:creator>Robert Chen</dc:creator>
  <cp:lastModifiedBy>LUCY</cp:lastModifiedBy>
  <dcterms:modified xsi:type="dcterms:W3CDTF">2025-04-18T15:44:04Z</dcterms:modified>
  <dc:title>POC测试方案</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2052-7.3.0.8966</vt:lpwstr>
  </property>
  <property fmtid="{D5CDD505-2E9C-101B-9397-08002B2CF9AE}" pid="3" name="ICV">
    <vt:lpwstr>4F7F650FDD8E405B9B609C8BF43DBF1B</vt:lpwstr>
  </property>
</Properties>
</file>