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Результаты всех лабораторных работ необходимо сохранять в личный репозиторий на GitHub или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GitFlic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 Формулирование требований к программной системе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Научиться анализировать поставленную задачу, формулировать функциональные и нефункциональные требования к проектируемой системе.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Ожидаемые результаты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Перечень заинтересованных лиц (стейкхолдеров) с краткими описаниями (2 балла)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Перечень функциональных требований (2 балла)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Диаграмма вариантов использования для функциональных требований (2 балла)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Перечень сделанных предположений (всё, что не оговорено в постановке явно можно “додумать” самостоятельно) (2 балла)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Повышенная сложность: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Перечень нефункциональных требований (2 балла)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Дополнительные материалы: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Литература по анализу нефункциональных требований (архитектурных свойств): главы 4 и 5 в книге “Фундаментальный подход к программной архитектуре” М.Ричардса и Нила Форда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lic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