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392CA"/>
          <w:sz w:val="56"/>
        </w:rPr>
        <w:t>GoOuts</w:t>
      </w:r>
    </w:p>
    <w:p>
      <w:pPr>
        <w:spacing w:after="40"/>
      </w:pPr>
      <w:r>
        <w:rPr>
          <w:rFonts w:ascii="Arial" w:hAnsi="Arial"/>
          <w:b/>
          <w:color w:val="0D1B3E"/>
          <w:sz w:val="26"/>
        </w:rPr>
        <w:t>Sponsor &amp; Budget Brief — Payment Architecture &amp; LTV Economics</w:t>
      </w:r>
    </w:p>
    <w:p>
      <w:pPr>
        <w:spacing w:after="280"/>
      </w:pPr>
      <w:r>
        <w:rPr>
          <w:rFonts w:ascii="Arial" w:hAnsi="Arial"/>
          <w:i/>
          <w:color w:val="64748B"/>
          <w:sz w:val="18"/>
        </w:rPr>
        <w:t>Confidential · May 2026 · V4 JIT-VRP Architecture</w:t>
      </w:r>
    </w:p>
    <w:p>
      <w:pPr>
        <w:spacing w:after="280"/>
        <w:pBdr>
          <w:bottom w:val="single" w:sz="12" w:space="1" w:color="0392CA"/>
        </w:pBdr>
      </w:pPr>
    </w:p>
    <w:p>
      <w:pPr>
        <w:spacing w:before="360" w:after="80"/>
        <w:pBdr>
          <w:bottom w:val="single" w:sz="8" w:space="4" w:color="0392CA"/>
        </w:pBdr>
      </w:pPr>
      <w:r>
        <w:rPr>
          <w:rFonts w:ascii="Arial" w:hAnsi="Arial"/>
          <w:b/>
          <w:color w:val="0D1B3E"/>
          <w:sz w:val="28"/>
        </w:rPr>
        <w:t>1. Executive Summary</w:t>
      </w:r>
    </w:p>
    <w:p>
      <w:pPr>
        <w:spacing w:after="120"/>
      </w:pPr>
      <w:r>
        <w:rPr>
          <w:rFonts w:ascii="Arial" w:hAnsi="Arial"/>
          <w:color w:val="0D1B3E"/>
          <w:sz w:val="20"/>
        </w:rPr>
        <w:t>GoOuts is a UK cashback and rewards platform built on a proprietary Just-In-Time Variable Recurring Payment (JIT-VRP) architecture. Unlike traditional fintech wallets that require users to pre-load funds and expose the operator to heavy FCA e-money regulation, GoOuts uses Open Banking to pull the exact payment amount from the customer's own bank at the moment of purchase — keeping zero idle funds on the platform, minimising regulatory overhead, and converting the payment infrastructure into a net revenue engine via commercial card interchange.</w:t>
      </w:r>
    </w:p>
    <w:p>
      <w:pPr>
        <w:spacing w:after="120"/>
      </w:pPr>
      <w:r>
        <w:rPr>
          <w:rFonts w:ascii="Arial" w:hAnsi="Arial"/>
          <w:color w:val="0D1B3E"/>
          <w:sz w:val="20"/>
        </w:rPr>
        <w:t>This brief sets out the confirmed architecture, the unit economics per customer, and the resulting LTV model that underpins the GoOuts fundraising ask.</w:t>
      </w:r>
    </w:p>
    <w:p>
      <w:pPr>
        <w:spacing w:before="360" w:after="80"/>
        <w:pBdr>
          <w:bottom w:val="single" w:sz="8" w:space="4" w:color="0392CA"/>
        </w:pBdr>
      </w:pPr>
      <w:r>
        <w:rPr>
          <w:rFonts w:ascii="Arial" w:hAnsi="Arial"/>
          <w:b/>
          <w:color w:val="0D1B3E"/>
          <w:sz w:val="28"/>
        </w:rPr>
        <w:t>2. Payment Architecture — V4 JIT-VRP</w:t>
      </w:r>
    </w:p>
    <w:p>
      <w:pPr>
        <w:spacing w:before="240" w:after="60"/>
      </w:pPr>
      <w:r>
        <w:rPr>
          <w:rFonts w:ascii="Arial" w:hAnsi="Arial"/>
          <w:b/>
          <w:color w:val="0392CA"/>
          <w:sz w:val="22"/>
        </w:rPr>
        <w:t>How It Works</w:t>
      </w:r>
    </w:p>
    <w:p>
      <w:pPr>
        <w:spacing w:after="80"/>
      </w:pPr>
      <w:r>
        <w:rPr>
          <w:rFonts w:ascii="Arial" w:hAnsi="Arial"/>
          <w:color w:val="0D1B3E"/>
          <w:sz w:val="20"/>
        </w:rPr>
        <w:t>Every GoOuts virtual card is maintained at a permanent balance of £0.00. No user money sits idle on the platform. When a customer taps their GoOuts card at a partner terminal, the following happens in under 2 seconds:</w:t>
      </w:r>
    </w:p>
    <w:p>
      <w:pPr>
        <w:spacing w:after="80"/>
        <w:ind w:left="283"/>
      </w:pPr>
      <w:r>
        <w:rPr>
          <w:rFonts w:ascii="Arial" w:hAnsi="Arial"/>
          <w:b/>
          <w:color w:val="0D1B3E"/>
          <w:sz w:val="20"/>
        </w:rPr>
        <w:t xml:space="preserve">Step 1 — Card Tap </w:t>
      </w:r>
      <w:r>
        <w:rPr>
          <w:rFonts w:ascii="Arial" w:hAnsi="Arial"/>
          <w:color w:val="0D1B3E"/>
          <w:sz w:val="20"/>
        </w:rPr>
        <w:t>The merchant terminal captures a commercial card transaction and sends a JIT authorisation webhook to the GoOuts backend.</w:t>
      </w:r>
    </w:p>
    <w:p>
      <w:pPr>
        <w:spacing w:after="80"/>
        <w:ind w:left="283"/>
      </w:pPr>
      <w:r>
        <w:rPr>
          <w:rFonts w:ascii="Arial" w:hAnsi="Arial"/>
          <w:b/>
          <w:color w:val="0D1B3E"/>
          <w:sz w:val="20"/>
        </w:rPr>
        <w:t xml:space="preserve">Step 2 — VRP Sweep </w:t>
      </w:r>
      <w:r>
        <w:rPr>
          <w:rFonts w:ascii="Arial" w:hAnsi="Arial"/>
          <w:color w:val="0D1B3E"/>
          <w:sz w:val="20"/>
        </w:rPr>
        <w:t>The GoOuts backend triggers an Open Banking Variable Recurring Payment (VRP), pulling the exact purchase amount from the customer's personal bank via Faster Payments (5p–11p flat fee, regardless of transaction size).</w:t>
      </w:r>
    </w:p>
    <w:p>
      <w:pPr>
        <w:spacing w:after="80"/>
        <w:ind w:left="283"/>
      </w:pPr>
      <w:r>
        <w:rPr>
          <w:rFonts w:ascii="Arial" w:hAnsi="Arial"/>
          <w:b/>
          <w:color w:val="0D1B3E"/>
          <w:sz w:val="20"/>
        </w:rPr>
        <w:t xml:space="preserve">Step 3 — Approval </w:t>
      </w:r>
      <w:r>
        <w:rPr>
          <w:rFonts w:ascii="Arial" w:hAnsi="Arial"/>
          <w:color w:val="0D1B3E"/>
          <w:sz w:val="20"/>
        </w:rPr>
        <w:t>Funds arrive in the GoOuts clearing pool. The backend returns an approval signal to the card network within the 2-second timeout window.</w:t>
      </w:r>
    </w:p>
    <w:p>
      <w:pPr>
        <w:spacing w:after="80"/>
        <w:ind w:left="283"/>
      </w:pPr>
      <w:r>
        <w:rPr>
          <w:rFonts w:ascii="Arial" w:hAnsi="Arial"/>
          <w:b/>
          <w:color w:val="0D1B3E"/>
          <w:sz w:val="20"/>
        </w:rPr>
        <w:t xml:space="preserve">Step 4 — Interchange Credit </w:t>
      </w:r>
      <w:r>
        <w:rPr>
          <w:rFonts w:ascii="Arial" w:hAnsi="Arial"/>
          <w:color w:val="0D1B3E"/>
          <w:sz w:val="20"/>
        </w:rPr>
        <w:t>Because the card is issued as a Commercial card (not a consumer card), GoOuts earns 1.1%–2.1% gross interchange revenue on every transaction. The BaaS partner shares 50–70% of that back to GoOuts.</w:t>
      </w:r>
    </w:p>
    <w:p>
      <w:pPr>
        <w:spacing w:after="80"/>
        <w:ind w:left="283"/>
      </w:pPr>
      <w:r>
        <w:rPr>
          <w:rFonts w:ascii="Arial" w:hAnsi="Arial"/>
          <w:b/>
          <w:color w:val="0D1B3E"/>
          <w:sz w:val="20"/>
        </w:rPr>
        <w:t xml:space="preserve">Step 5 — Cashback </w:t>
      </w:r>
      <w:r>
        <w:rPr>
          <w:rFonts w:ascii="Arial" w:hAnsi="Arial"/>
          <w:color w:val="0D1B3E"/>
          <w:sz w:val="20"/>
        </w:rPr>
        <w:t>GoOuts credits the customer's cashback balance from the interchange revenue earned, making the cashback model self-funding.</w:t>
      </w:r>
    </w:p>
    <w:p>
      <w:pPr>
        <w:spacing w:before="240" w:after="60"/>
      </w:pPr>
      <w:r>
        <w:rPr>
          <w:rFonts w:ascii="Arial" w:hAnsi="Arial"/>
          <w:b/>
          <w:color w:val="0392CA"/>
          <w:sz w:val="22"/>
        </w:rPr>
        <w:t>Regulatory Position</w:t>
      </w:r>
    </w:p>
    <w:p>
      <w:pPr>
        <w:spacing w:after="80"/>
      </w:pPr>
      <w:r>
        <w:rPr>
          <w:rFonts w:ascii="Arial" w:hAnsi="Arial"/>
          <w:color w:val="0D1B3E"/>
          <w:sz w:val="20"/>
        </w:rPr>
        <w:t>GoOuts registers as a Payment Initiation Service Provider (PISP) under PSD2/PSR — a significantly lighter FCA authorisation than an Electronic Money Institution (EMI) licence. Because GoOuts never holds customer funds, safeguarding rules and the associated compliance burden do not apply. KYC is handled by the Open Banking consent flow (bank-verified identity) and the BaaS card issuing partner — not by a separate KYC vendor such as Sumsub or Stripe Identity.</w:t>
      </w:r>
    </w:p>
    <w:p>
      <w:pPr>
        <w:spacing w:before="360" w:after="80"/>
        <w:pBdr>
          <w:bottom w:val="single" w:sz="8" w:space="4" w:color="0392CA"/>
        </w:pBdr>
      </w:pPr>
      <w:r>
        <w:rPr>
          <w:rFonts w:ascii="Arial" w:hAnsi="Arial"/>
          <w:b/>
          <w:color w:val="0D1B3E"/>
          <w:sz w:val="28"/>
        </w:rPr>
        <w:t>3. Cost Structure Per Customer</w:t>
      </w:r>
    </w:p>
    <w:p>
      <w:pPr>
        <w:spacing w:before="240" w:after="60"/>
      </w:pPr>
      <w:r>
        <w:rPr>
          <w:rFonts w:ascii="Arial" w:hAnsi="Arial"/>
          <w:b/>
          <w:color w:val="0392CA"/>
          <w:sz w:val="22"/>
        </w:rPr>
        <w:t>One-Off Onboarding Cost</w:t>
      </w:r>
    </w:p>
    <w:p>
      <w:pPr>
        <w:spacing w:after="80"/>
      </w:pPr>
      <w:r>
        <w:rPr>
          <w:rFonts w:ascii="Arial" w:hAnsi="Arial"/>
          <w:color w:val="0D1B3E"/>
          <w:sz w:val="20"/>
        </w:rPr>
        <w:t>Each new customer incurs a single onboarding cost when they join GoOuts and complete the Open Banking consent + commercial card provisioning step:</w:t>
      </w:r>
    </w:p>
    <w:tbl>
      <w:tblPr>
        <w:tblStyle w:val="TableGrid"/>
        <w:tblW w:type="auto" w:w="0"/>
        <w:jc w:val="left"/>
        <w:tblLook w:firstColumn="1" w:firstRow="1" w:lastColumn="0" w:lastRow="0" w:noHBand="0" w:noVBand="1" w:val="04A0"/>
      </w:tblPr>
      <w:tblGrid>
        <w:gridCol w:w="3024"/>
        <w:gridCol w:w="3024"/>
        <w:gridCol w:w="3024"/>
      </w:tblGrid>
      <w:tr>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Cost Item</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Provider</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Cost Per Customer</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Open Banking VRP Consent Setup</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TrueLayer / Yapily</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~20p – 50p (one-off)</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Commercial Virtual Card Provisioning</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Modulr / Stripe Issuing</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~10p – 20p (one-off)</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KYC (bank-verified via consent flow)</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Included above</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£0 separately</w:t>
            </w:r>
          </w:p>
        </w:tc>
      </w:tr>
    </w:tbl>
    <w:p/>
    <w:p>
      <w:pPr>
        <w:spacing w:after="200"/>
      </w:pPr>
      <w:r>
        <w:rPr>
          <w:rFonts w:ascii="Arial" w:hAnsi="Arial"/>
          <w:b/>
          <w:color w:val="0D1B3E"/>
          <w:sz w:val="20"/>
        </w:rPr>
        <w:t xml:space="preserve">Total onboarding cost per customer: </w:t>
      </w:r>
      <w:r>
        <w:rPr>
          <w:rFonts w:ascii="Arial" w:hAnsi="Arial"/>
          <w:b/>
          <w:color w:val="15803D"/>
          <w:sz w:val="20"/>
        </w:rPr>
        <w:t>30p – 70p    (KYC included, no separate vendor bill)</w:t>
      </w:r>
    </w:p>
    <w:p>
      <w:pPr>
        <w:spacing w:before="240" w:after="60"/>
      </w:pPr>
      <w:r>
        <w:rPr>
          <w:rFonts w:ascii="Arial" w:hAnsi="Arial"/>
          <w:b/>
          <w:color w:val="0392CA"/>
          <w:sz w:val="22"/>
        </w:rPr>
        <w:t>Per-Transaction Operating Cost</w:t>
      </w:r>
    </w:p>
    <w:p>
      <w:pPr>
        <w:spacing w:after="80"/>
      </w:pPr>
      <w:r>
        <w:rPr>
          <w:rFonts w:ascii="Arial" w:hAnsi="Arial"/>
          <w:color w:val="0D1B3E"/>
          <w:sz w:val="20"/>
        </w:rPr>
        <w:t>Every purchase a GoOuts customer makes incurs a flat-rate VRP sweep fee, completely decoupled from transaction size:</w:t>
      </w:r>
    </w:p>
    <w:tbl>
      <w:tblPr>
        <w:tblStyle w:val="TableGrid"/>
        <w:tblW w:type="auto" w:w="0"/>
        <w:jc w:val="left"/>
        <w:tblLook w:firstColumn="1" w:firstRow="1" w:lastColumn="0" w:lastRow="0" w:noHBand="0" w:noVBand="1" w:val="04A0"/>
      </w:tblPr>
      <w:tblGrid>
        <w:gridCol w:w="3024"/>
        <w:gridCol w:w="3024"/>
        <w:gridCol w:w="3024"/>
      </w:tblGrid>
      <w:tr>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Event</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Mechanism</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Cost</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VRP Faster Payments Sweep</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Open Banking flat fee</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5p – 11p per transaction</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JIT Webhook Processing</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Cloud infrastructure</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&lt;0.5p (bundled in compute)</w:t>
            </w:r>
          </w:p>
        </w:tc>
      </w:tr>
    </w:tbl>
    <w:p/>
    <w:p>
      <w:pPr>
        <w:spacing w:after="200"/>
      </w:pPr>
      <w:r>
        <w:rPr>
          <w:rFonts w:ascii="Arial" w:hAnsi="Arial"/>
          <w:i/>
          <w:color w:val="64748B"/>
          <w:sz w:val="20"/>
        </w:rPr>
        <w:t>Comparison: A traditional card-loading model costs 1.4%–2.5% + fixed pence per load. On a £50 transaction that is 70p–£1.25 per transaction vs 5p–11p for GoOuts. That is a 10× to 15× cost saving on every single purchase.</w:t>
      </w:r>
    </w:p>
    <w:p>
      <w:pPr>
        <w:spacing w:before="360" w:after="80"/>
        <w:pBdr>
          <w:bottom w:val="single" w:sz="8" w:space="4" w:color="0392CA"/>
        </w:pBdr>
      </w:pPr>
      <w:r>
        <w:rPr>
          <w:rFonts w:ascii="Arial" w:hAnsi="Arial"/>
          <w:b/>
          <w:color w:val="0D1B3E"/>
          <w:sz w:val="28"/>
        </w:rPr>
        <w:t>4. Revenue Per Transaction — Interchange Engine</w:t>
      </w:r>
    </w:p>
    <w:p>
      <w:pPr>
        <w:spacing w:after="80"/>
      </w:pPr>
      <w:r>
        <w:rPr>
          <w:rFonts w:ascii="Arial" w:hAnsi="Arial"/>
          <w:color w:val="0D1B3E"/>
          <w:sz w:val="20"/>
        </w:rPr>
        <w:t>Because GoOuts issues Commercial virtual cards (not consumer cards), the UK/EEA 0.20% interchange cap does not apply. Commercial card interchange runs at 1.1%–2.1% gross. The BaaS partner contractually shares 50–70% of that back to GoOuts on a per-transaction basis.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Scenario</w:t>
            </w:r>
          </w:p>
        </w:tc>
        <w:tc>
          <w:tcPr>
            <w:tcW w:type="dxa" w:w="2268"/>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£30 Transaction</w:t>
            </w:r>
          </w:p>
        </w:tc>
        <w:tc>
          <w:tcPr>
            <w:tcW w:type="dxa" w:w="2268"/>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£50 Transaction</w:t>
            </w:r>
          </w:p>
        </w:tc>
        <w:tc>
          <w:tcPr>
            <w:tcW w:type="dxa" w:w="2268"/>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£100 Transaction</w:t>
            </w:r>
          </w:p>
        </w:tc>
      </w:tr>
      <w:tr>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Gross Interchange (1.1% low)</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33p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55p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£1.10</w:t>
            </w:r>
          </w:p>
        </w:tc>
      </w:tr>
      <w:tr>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Gross Interchange (2.1% high)</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63p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£1.05</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£2.10</w:t>
            </w:r>
          </w:p>
        </w:tc>
      </w:tr>
      <w:tr>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GoOuts Share (60% mid)</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20p – 38p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33p – 63p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66p – £1.26</w:t>
            </w:r>
          </w:p>
        </w:tc>
      </w:tr>
      <w:tr>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Less VRP Sweep Cost</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–8p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–8p</w:t>
            </w:r>
          </w:p>
        </w:tc>
        <w:tc>
          <w:tcPr>
            <w:tcW w:type="dxa" w:w="2268"/>
            <w:tcBorders>
              <w:top w:val="single" w:sz="4" w:space="0" w:color="CCCCCC"/>
              <w:left w:val="single" w:sz="4" w:space="0" w:color="CCCCCC"/>
              <w:bottom w:val="single" w:sz="4" w:space="0" w:color="CCCCCC"/>
              <w:right w:val="single" w:sz="4" w:space="0" w:color="CCCCCC"/>
            </w:tcBorders>
          </w:tcPr>
          <w:p>
            <w:r>
              <w:rPr>
                <w:rFonts w:ascii="Arial" w:hAnsi="Arial"/>
                <w:b w:val="0"/>
                <w:color w:val="0D1B3E"/>
                <w:sz w:val="19"/>
              </w:rPr>
              <w:t>–8p</w:t>
            </w:r>
          </w:p>
        </w:tc>
      </w:tr>
      <w:tr>
        <w:tc>
          <w:tcPr>
            <w:tcW w:type="dxa" w:w="2268"/>
            <w:tcBorders>
              <w:top w:val="single" w:sz="4" w:space="0" w:color="CCCCCC"/>
              <w:left w:val="single" w:sz="4" w:space="0" w:color="CCCCCC"/>
              <w:bottom w:val="single" w:sz="4" w:space="0" w:color="CCCCCC"/>
              <w:right w:val="single" w:sz="4" w:space="0" w:color="CCCCCC"/>
            </w:tcBorders>
            <w:shd w:val="clear" w:color="auto" w:fill="E8F8EE"/>
          </w:tcPr>
          <w:p>
            <w:r>
              <w:rPr>
                <w:rFonts w:ascii="Arial" w:hAnsi="Arial"/>
                <w:b/>
                <w:color w:val="15803D"/>
                <w:sz w:val="19"/>
              </w:rPr>
              <w:t>Net Margin Per Transaction</w:t>
            </w:r>
          </w:p>
        </w:tc>
        <w:tc>
          <w:tcPr>
            <w:tcW w:type="dxa" w:w="2268"/>
            <w:tcBorders>
              <w:top w:val="single" w:sz="4" w:space="0" w:color="CCCCCC"/>
              <w:left w:val="single" w:sz="4" w:space="0" w:color="CCCCCC"/>
              <w:bottom w:val="single" w:sz="4" w:space="0" w:color="CCCCCC"/>
              <w:right w:val="single" w:sz="4" w:space="0" w:color="CCCCCC"/>
            </w:tcBorders>
            <w:shd w:val="clear" w:color="auto" w:fill="E8F8EE"/>
          </w:tcPr>
          <w:p>
            <w:r>
              <w:rPr>
                <w:rFonts w:ascii="Arial" w:hAnsi="Arial"/>
                <w:b/>
                <w:color w:val="15803D"/>
                <w:sz w:val="19"/>
              </w:rPr>
              <w:t>12p – 30p</w:t>
            </w:r>
          </w:p>
        </w:tc>
        <w:tc>
          <w:tcPr>
            <w:tcW w:type="dxa" w:w="2268"/>
            <w:tcBorders>
              <w:top w:val="single" w:sz="4" w:space="0" w:color="CCCCCC"/>
              <w:left w:val="single" w:sz="4" w:space="0" w:color="CCCCCC"/>
              <w:bottom w:val="single" w:sz="4" w:space="0" w:color="CCCCCC"/>
              <w:right w:val="single" w:sz="4" w:space="0" w:color="CCCCCC"/>
            </w:tcBorders>
            <w:shd w:val="clear" w:color="auto" w:fill="E8F8EE"/>
          </w:tcPr>
          <w:p>
            <w:r>
              <w:rPr>
                <w:rFonts w:ascii="Arial" w:hAnsi="Arial"/>
                <w:b/>
                <w:color w:val="15803D"/>
                <w:sz w:val="19"/>
              </w:rPr>
              <w:t>25p – 55p</w:t>
            </w:r>
          </w:p>
        </w:tc>
        <w:tc>
          <w:tcPr>
            <w:tcW w:type="dxa" w:w="2268"/>
            <w:tcBorders>
              <w:top w:val="single" w:sz="4" w:space="0" w:color="CCCCCC"/>
              <w:left w:val="single" w:sz="4" w:space="0" w:color="CCCCCC"/>
              <w:bottom w:val="single" w:sz="4" w:space="0" w:color="CCCCCC"/>
              <w:right w:val="single" w:sz="4" w:space="0" w:color="CCCCCC"/>
            </w:tcBorders>
            <w:shd w:val="clear" w:color="auto" w:fill="E8F8EE"/>
          </w:tcPr>
          <w:p>
            <w:r>
              <w:rPr>
                <w:rFonts w:ascii="Arial" w:hAnsi="Arial"/>
                <w:b/>
                <w:color w:val="15803D"/>
                <w:sz w:val="19"/>
              </w:rPr>
              <w:t>58p – £1.18</w:t>
            </w:r>
          </w:p>
        </w:tc>
      </w:tr>
    </w:tbl>
    <w:p/>
    <w:p>
      <w:pPr>
        <w:spacing w:after="80"/>
      </w:pPr>
      <w:r>
        <w:rPr>
          <w:rFonts w:ascii="Arial" w:hAnsi="Arial"/>
          <w:color w:val="0D1B3E"/>
          <w:sz w:val="20"/>
        </w:rPr>
        <w:t>GoOuts is cashback-positive from day one of live transactions. Partner affiliate commission (the cashback GoOuts pays customers) is funded directly from interchange revenue — no external subsidy required.</w:t>
      </w:r>
    </w:p>
    <w:p>
      <w:pPr>
        <w:spacing w:before="360" w:after="80"/>
        <w:pBdr>
          <w:bottom w:val="single" w:sz="8" w:space="4" w:color="0392CA"/>
        </w:pBdr>
      </w:pPr>
      <w:r>
        <w:rPr>
          <w:rFonts w:ascii="Arial" w:hAnsi="Arial"/>
          <w:b/>
          <w:color w:val="0D1B3E"/>
          <w:sz w:val="28"/>
        </w:rPr>
        <w:t>5. Architecture Comparison — V4 JIT-VRP vs Traditional Wallet</w:t>
      </w:r>
    </w:p>
    <w:tbl>
      <w:tblPr>
        <w:tblStyle w:val="TableGrid"/>
        <w:tblW w:type="auto" w:w="0"/>
        <w:jc w:val="left"/>
        <w:tblLook w:firstColumn="1" w:firstRow="1" w:lastColumn="0" w:lastRow="0" w:noHBand="0" w:noVBand="1" w:val="04A0"/>
      </w:tblPr>
      <w:tblGrid>
        <w:gridCol w:w="3024"/>
        <w:gridCol w:w="3024"/>
        <w:gridCol w:w="3024"/>
      </w:tblGrid>
      <w:tr>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Factor</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Traditional Wallet / Top-Up</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GoOuts V4 JIT-VRP</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Customer funds held on platform</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B91C1C"/>
                <w:sz w:val="19"/>
              </w:rPr>
              <w:t>✗ Yes — safeguarding required</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 No — stays in customer's bank</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FCA licence required</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B91C1C"/>
                <w:sz w:val="19"/>
              </w:rPr>
              <w:t>✗ EMI licence (heavy, expensive)</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 PISP registration (light touch)</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KYC cost</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B91C1C"/>
                <w:sz w:val="19"/>
              </w:rPr>
              <w:t>✗ £1–£3 per user (Sumsub / Stripe)</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 £0 separately — bundled in VRP consent</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Onboarding cost per user</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B91C1C"/>
                <w:sz w:val="19"/>
              </w:rPr>
              <w:t>£1–£4+</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30p–70p</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Transaction cost</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B91C1C"/>
                <w:sz w:val="19"/>
              </w:rPr>
              <w:t>1.4%–2.5% per load</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5p–11p flat</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Revenue per transaction</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B91C1C"/>
                <w:sz w:val="19"/>
              </w:rPr>
              <w:t>£0 (pure cost)</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15803D"/>
                <w:sz w:val="19"/>
              </w:rPr>
              <w:t>+25p–55p net (interchange)</w:t>
            </w:r>
          </w:p>
        </w:tc>
      </w:tr>
    </w:tbl>
    <w:p/>
    <w:p>
      <w:pPr>
        <w:spacing w:before="360" w:after="80"/>
        <w:pBdr>
          <w:bottom w:val="single" w:sz="8" w:space="4" w:color="0392CA"/>
        </w:pBdr>
      </w:pPr>
      <w:r>
        <w:rPr>
          <w:rFonts w:ascii="Arial" w:hAnsi="Arial"/>
          <w:b/>
          <w:color w:val="0D1B3E"/>
          <w:sz w:val="28"/>
        </w:rPr>
        <w:t>6. Customer Lifetime Value (LTV) Model</w:t>
      </w:r>
    </w:p>
    <w:p>
      <w:pPr>
        <w:spacing w:before="240" w:after="60"/>
      </w:pPr>
      <w:r>
        <w:rPr>
          <w:rFonts w:ascii="Arial" w:hAnsi="Arial"/>
          <w:b/>
          <w:color w:val="0392CA"/>
          <w:sz w:val="22"/>
        </w:rPr>
        <w:t>Assumptions</w:t>
      </w:r>
    </w:p>
    <w:p>
      <w:pPr>
        <w:pStyle w:val="ListBullet"/>
        <w:spacing w:after="60"/>
        <w:ind w:left="567"/>
      </w:pPr>
      <w:r>
        <w:rPr>
          <w:rFonts w:ascii="Arial" w:hAnsi="Arial"/>
          <w:color w:val="0D1B3E"/>
          <w:sz w:val="20"/>
        </w:rPr>
        <w:t>Average transaction value: £40</w:t>
      </w:r>
    </w:p>
    <w:p>
      <w:pPr>
        <w:pStyle w:val="ListBullet"/>
        <w:spacing w:after="60"/>
        <w:ind w:left="567"/>
      </w:pPr>
      <w:r>
        <w:rPr>
          <w:rFonts w:ascii="Arial" w:hAnsi="Arial"/>
          <w:color w:val="0D1B3E"/>
          <w:sz w:val="20"/>
        </w:rPr>
        <w:t>Transactions per active user per month: 6–10</w:t>
      </w:r>
    </w:p>
    <w:p>
      <w:pPr>
        <w:pStyle w:val="ListBullet"/>
        <w:spacing w:after="60"/>
        <w:ind w:left="567"/>
      </w:pPr>
      <w:r>
        <w:rPr>
          <w:rFonts w:ascii="Arial" w:hAnsi="Arial"/>
          <w:color w:val="0D1B3E"/>
          <w:sz w:val="20"/>
        </w:rPr>
        <w:t>Active user ratio: 50% of registered users transact in a given month</w:t>
      </w:r>
    </w:p>
    <w:p>
      <w:pPr>
        <w:pStyle w:val="ListBullet"/>
        <w:spacing w:after="60"/>
        <w:ind w:left="567"/>
      </w:pPr>
      <w:r>
        <w:rPr>
          <w:rFonts w:ascii="Arial" w:hAnsi="Arial"/>
          <w:color w:val="0D1B3E"/>
          <w:sz w:val="20"/>
        </w:rPr>
        <w:t>Average cashback rate paid to customer: 8% (funded by partner + interchange)</w:t>
      </w:r>
    </w:p>
    <w:p>
      <w:pPr>
        <w:pStyle w:val="ListBullet"/>
        <w:spacing w:after="60"/>
        <w:ind w:left="567"/>
      </w:pPr>
      <w:r>
        <w:rPr>
          <w:rFonts w:ascii="Arial" w:hAnsi="Arial"/>
          <w:color w:val="0D1B3E"/>
          <w:sz w:val="20"/>
        </w:rPr>
        <w:t>GoOuts net interchange margin retained: ~40p per transaction (mid estimate)</w:t>
      </w:r>
    </w:p>
    <w:p>
      <w:pPr>
        <w:pStyle w:val="ListBullet"/>
        <w:spacing w:after="60"/>
        <w:ind w:left="567"/>
      </w:pPr>
      <w:r>
        <w:rPr>
          <w:rFonts w:ascii="Arial" w:hAnsi="Arial"/>
          <w:color w:val="0D1B3E"/>
          <w:sz w:val="20"/>
        </w:rPr>
        <w:t>Average customer lifetime: 24 months</w:t>
      </w:r>
    </w:p>
    <w:p/>
    <w:p>
      <w:pPr>
        <w:spacing w:before="240" w:after="60"/>
      </w:pPr>
      <w:r>
        <w:rPr>
          <w:rFonts w:ascii="Arial" w:hAnsi="Arial"/>
          <w:b/>
          <w:color w:val="0392CA"/>
          <w:sz w:val="22"/>
        </w:rPr>
        <w:t>LTV Calculation (Per Active Customer)</w:t>
      </w:r>
    </w:p>
    <w:tbl>
      <w:tblPr>
        <w:tblStyle w:val="TableGrid"/>
        <w:tblW w:type="auto" w:w="0"/>
        <w:jc w:val="left"/>
        <w:tblLook w:firstColumn="1" w:firstRow="1" w:lastColumn="0" w:lastRow="0" w:noHBand="0" w:noVBand="1" w:val="04A0"/>
      </w:tblPr>
      <w:tblGrid>
        <w:gridCol w:w="3024"/>
        <w:gridCol w:w="3024"/>
        <w:gridCol w:w="3024"/>
      </w:tblGrid>
      <w:tr>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Metric</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Conservative</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Optimistic</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Monthly transactions</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6</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10</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Net interchange revenue / month</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£2.40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£4.00</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Partner commission share / month</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£0.80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£1.50</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Total monthly revenue per user</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£3.20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£5.50</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Lifetime (24 months)</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£76.80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£132.00</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Less onboarding cost</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–£0.70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–£0.70</w:t>
            </w:r>
          </w:p>
        </w:tc>
      </w:tr>
    </w:tbl>
    <w:tbl>
      <w:tblPr>
        <w:tblStyle w:val="TableGrid"/>
        <w:tblW w:type="auto" w:w="0"/>
        <w:jc w:val="left"/>
        <w:tblLook w:firstColumn="1" w:firstRow="1" w:lastColumn="0" w:lastRow="0" w:noHBand="0" w:noVBand="1" w:val="04A0"/>
      </w:tblPr>
      <w:tblGrid>
        <w:gridCol w:w="3024"/>
        <w:gridCol w:w="3024"/>
        <w:gridCol w:w="3024"/>
      </w:tblGrid>
      <w:tr>
        <w:tc>
          <w:tcPr>
            <w:tcW w:type="dxa" w:w="3024"/>
            <w:tcBorders>
              <w:top w:val="single" w:sz="4" w:space="0" w:color="0392CA"/>
              <w:left w:val="single" w:sz="4" w:space="0" w:color="0392CA"/>
              <w:bottom w:val="single" w:sz="4" w:space="0" w:color="0392CA"/>
              <w:right w:val="single" w:sz="4" w:space="0" w:color="0392CA"/>
            </w:tcBorders>
            <w:shd w:val="clear" w:color="auto" w:fill="E8F8EE"/>
          </w:tcPr>
          <w:p>
            <w:r>
              <w:rPr>
                <w:rFonts w:ascii="Arial" w:hAnsi="Arial"/>
                <w:b/>
                <w:color w:val="15803D"/>
                <w:sz w:val="20"/>
              </w:rPr>
              <w:t>LTV per active customer</w:t>
            </w:r>
          </w:p>
        </w:tc>
        <w:tc>
          <w:tcPr>
            <w:tcW w:type="dxa" w:w="3024"/>
            <w:tcBorders>
              <w:top w:val="single" w:sz="4" w:space="0" w:color="0392CA"/>
              <w:left w:val="single" w:sz="4" w:space="0" w:color="0392CA"/>
              <w:bottom w:val="single" w:sz="4" w:space="0" w:color="0392CA"/>
              <w:right w:val="single" w:sz="4" w:space="0" w:color="0392CA"/>
            </w:tcBorders>
            <w:shd w:val="clear" w:color="auto" w:fill="E8F8EE"/>
          </w:tcPr>
          <w:p>
            <w:r>
              <w:rPr>
                <w:rFonts w:ascii="Arial" w:hAnsi="Arial"/>
                <w:b/>
                <w:color w:val="15803D"/>
                <w:sz w:val="20"/>
              </w:rPr>
              <w:t>~£76</w:t>
            </w:r>
          </w:p>
        </w:tc>
        <w:tc>
          <w:tcPr>
            <w:tcW w:type="dxa" w:w="3024"/>
            <w:tcBorders>
              <w:top w:val="single" w:sz="4" w:space="0" w:color="0392CA"/>
              <w:left w:val="single" w:sz="4" w:space="0" w:color="0392CA"/>
              <w:bottom w:val="single" w:sz="4" w:space="0" w:color="0392CA"/>
              <w:right w:val="single" w:sz="4" w:space="0" w:color="0392CA"/>
            </w:tcBorders>
            <w:shd w:val="clear" w:color="auto" w:fill="E8F8EE"/>
          </w:tcPr>
          <w:p>
            <w:r>
              <w:rPr>
                <w:rFonts w:ascii="Arial" w:hAnsi="Arial"/>
                <w:b/>
                <w:color w:val="15803D"/>
                <w:sz w:val="20"/>
              </w:rPr>
              <w:t>~£131</w:t>
            </w:r>
          </w:p>
        </w:tc>
      </w:tr>
    </w:tbl>
    <w:p/>
    <w:p>
      <w:pPr>
        <w:spacing w:before="360" w:after="80"/>
        <w:pBdr>
          <w:bottom w:val="single" w:sz="8" w:space="4" w:color="0392CA"/>
        </w:pBdr>
      </w:pPr>
      <w:r>
        <w:rPr>
          <w:rFonts w:ascii="Arial" w:hAnsi="Arial"/>
          <w:b/>
          <w:color w:val="0D1B3E"/>
          <w:sz w:val="28"/>
        </w:rPr>
        <w:t>7. Budget Guidance for Sponsors</w:t>
      </w:r>
    </w:p>
    <w:p>
      <w:pPr>
        <w:spacing w:after="80"/>
      </w:pPr>
      <w:r>
        <w:rPr>
          <w:rFonts w:ascii="Arial" w:hAnsi="Arial"/>
          <w:color w:val="0D1B3E"/>
          <w:sz w:val="20"/>
        </w:rPr>
        <w:t>The V4 JIT-VRP architecture fundamentally changes the cost-per-acquisition math. With onboarding at 30p–70p per customer (all-in, KYC included), the majority of sponsor budget can be directed at growth and acquisition rather than infrastructure compliance.</w:t>
      </w:r>
    </w:p>
    <w:p>
      <w:pPr>
        <w:spacing w:before="240" w:after="60"/>
      </w:pPr>
      <w:r>
        <w:rPr>
          <w:rFonts w:ascii="Arial" w:hAnsi="Arial"/>
          <w:b/>
          <w:color w:val="0392CA"/>
          <w:sz w:val="22"/>
        </w:rPr>
        <w:t>Recommended Budget Allocation (Seed / Series A)</w:t>
      </w:r>
    </w:p>
    <w:tbl>
      <w:tblPr>
        <w:tblStyle w:val="TableGrid"/>
        <w:tblW w:type="auto" w:w="0"/>
        <w:jc w:val="left"/>
        <w:tblLook w:firstColumn="1" w:firstRow="1" w:lastColumn="0" w:lastRow="0" w:noHBand="0" w:noVBand="1" w:val="04A0"/>
      </w:tblPr>
      <w:tblGrid>
        <w:gridCol w:w="3024"/>
        <w:gridCol w:w="3024"/>
        <w:gridCol w:w="3024"/>
      </w:tblGrid>
      <w:tr>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Category</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Recommended Allocation</w:t>
            </w:r>
          </w:p>
        </w:tc>
        <w:tc>
          <w:tcPr>
            <w:tcW w:type="dxa" w:w="3024"/>
            <w:tcBorders>
              <w:top w:val="single" w:sz="4" w:space="0" w:color="0392CA"/>
              <w:left w:val="single" w:sz="4" w:space="0" w:color="0392CA"/>
              <w:bottom w:val="single" w:sz="4" w:space="0" w:color="0392CA"/>
              <w:right w:val="single" w:sz="4" w:space="0" w:color="0392CA"/>
            </w:tcBorders>
            <w:shd w:val="clear" w:color="auto" w:fill="EBF6FC"/>
          </w:tcPr>
          <w:p>
            <w:r>
              <w:rPr>
                <w:rFonts w:ascii="Arial" w:hAnsi="Arial"/>
                <w:b/>
                <w:color w:val="0D1B3E"/>
                <w:sz w:val="19"/>
              </w:rPr>
              <w:t>Rationale</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Tech &amp; Backend (BaaS + VRP integration)</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0392CA"/>
                <w:sz w:val="19"/>
              </w:rPr>
              <w:t>35%</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TrueLayer / Modulr API build, sandbox, go-live</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User Acquisition &amp; Marketing</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0392CA"/>
                <w:sz w:val="19"/>
              </w:rPr>
              <w:t>30%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Low CPA needed — LTV justifies £5–10 CAC easily</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Partner Onboarding (merchant sign-ups)</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0392CA"/>
                <w:sz w:val="19"/>
              </w:rPr>
              <w:t>15%</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Sales, partner portal, QR terminal rollout</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Compliance &amp; Legal (PISP registration)</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0392CA"/>
                <w:sz w:val="19"/>
              </w:rPr>
              <w:t>10%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One-off FCA PISP reg + legal review (~£5–15k)</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Operational Reserve</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b/>
                <w:color w:val="0392CA"/>
                <w:sz w:val="19"/>
              </w:rPr>
              <w:t>10%</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0D1B3E"/>
                <w:sz w:val="19"/>
              </w:rPr>
              <w:t>NSF buffer, infrastructure scaling, team ops</w:t>
            </w:r>
          </w:p>
        </w:tc>
      </w:tr>
    </w:tbl>
    <w:p/>
    <w:p>
      <w:pPr>
        <w:spacing w:before="240" w:after="60"/>
      </w:pPr>
      <w:r>
        <w:rPr>
          <w:rFonts w:ascii="Arial" w:hAnsi="Arial"/>
          <w:b/>
          <w:color w:val="0392CA"/>
          <w:sz w:val="22"/>
        </w:rPr>
        <w:t>Key Sponsor Metrics to Track</w:t>
      </w:r>
    </w:p>
    <w:p>
      <w:pPr>
        <w:pStyle w:val="ListBullet"/>
        <w:spacing w:after="60"/>
        <w:ind w:left="567"/>
      </w:pPr>
      <w:r>
        <w:rPr>
          <w:rFonts w:ascii="Arial" w:hAnsi="Arial"/>
          <w:color w:val="0D1B3E"/>
          <w:sz w:val="20"/>
        </w:rPr>
        <w:t>Cost Per Acquired User (target: £2–5 CAC with V4 model)</w:t>
      </w:r>
    </w:p>
    <w:p>
      <w:pPr>
        <w:pStyle w:val="ListBullet"/>
        <w:spacing w:after="60"/>
        <w:ind w:left="567"/>
      </w:pPr>
      <w:r>
        <w:rPr>
          <w:rFonts w:ascii="Arial" w:hAnsi="Arial"/>
          <w:color w:val="0D1B3E"/>
          <w:sz w:val="20"/>
        </w:rPr>
        <w:t>Active User Rate (target: 50%+ monthly active from registered base)</w:t>
      </w:r>
    </w:p>
    <w:p>
      <w:pPr>
        <w:pStyle w:val="ListBullet"/>
        <w:spacing w:after="60"/>
        <w:ind w:left="567"/>
      </w:pPr>
      <w:r>
        <w:rPr>
          <w:rFonts w:ascii="Arial" w:hAnsi="Arial"/>
          <w:color w:val="0D1B3E"/>
          <w:sz w:val="20"/>
        </w:rPr>
        <w:t>Average Transactions Per Active User Per Month (target: 8+)</w:t>
      </w:r>
    </w:p>
    <w:p>
      <w:pPr>
        <w:pStyle w:val="ListBullet"/>
        <w:spacing w:after="60"/>
        <w:ind w:left="567"/>
      </w:pPr>
      <w:r>
        <w:rPr>
          <w:rFonts w:ascii="Arial" w:hAnsi="Arial"/>
          <w:color w:val="0D1B3E"/>
          <w:sz w:val="20"/>
        </w:rPr>
        <w:t>Net Interchange Revenue Per User Per Month (target: £3+)</w:t>
      </w:r>
    </w:p>
    <w:p>
      <w:pPr>
        <w:pStyle w:val="ListBullet"/>
        <w:spacing w:after="60"/>
        <w:ind w:left="567"/>
      </w:pPr>
      <w:r>
        <w:rPr>
          <w:rFonts w:ascii="Arial" w:hAnsi="Arial"/>
          <w:color w:val="0D1B3E"/>
          <w:sz w:val="20"/>
        </w:rPr>
        <w:t>LTV:CAC Ratio (target: 15:1 or better at scale)</w:t>
      </w:r>
    </w:p>
    <w:p/>
    <w:p>
      <w:pPr>
        <w:spacing w:before="360" w:after="80"/>
        <w:pBdr>
          <w:bottom w:val="single" w:sz="8" w:space="4" w:color="0392CA"/>
        </w:pBdr>
      </w:pPr>
      <w:r>
        <w:rPr>
          <w:rFonts w:ascii="Arial" w:hAnsi="Arial"/>
          <w:b/>
          <w:color w:val="0D1B3E"/>
          <w:sz w:val="28"/>
        </w:rPr>
        <w:t>8. Summary</w:t>
      </w:r>
    </w:p>
    <w:p>
      <w:pPr>
        <w:spacing w:after="120"/>
      </w:pPr>
      <w:r>
        <w:rPr>
          <w:rFonts w:ascii="Arial" w:hAnsi="Arial"/>
          <w:color w:val="0D1B3E"/>
          <w:sz w:val="20"/>
        </w:rPr>
        <w:t>GoOuts has selected a payment architecture that simultaneously eliminates the three biggest cost centres for a UK fintech startup — heavy FCA regulation, expensive KYC vendors, and percentage-based payment gateway fees. By replacing all three with a single Open Banking VRP + Commercial Card infrastructure, GoOuts achieves:</w:t>
      </w:r>
    </w:p>
    <w:p>
      <w:pPr>
        <w:pStyle w:val="ListBullet"/>
        <w:spacing w:after="60"/>
        <w:ind w:left="567"/>
      </w:pPr>
      <w:r>
        <w:rPr>
          <w:rFonts w:ascii="Arial" w:hAnsi="Arial"/>
          <w:color w:val="0D1B3E"/>
          <w:sz w:val="20"/>
        </w:rPr>
        <w:t>30p–70p all-in onboarding cost per customer (KYC included)</w:t>
      </w:r>
    </w:p>
    <w:p>
      <w:pPr>
        <w:pStyle w:val="ListBullet"/>
        <w:spacing w:after="60"/>
        <w:ind w:left="567"/>
      </w:pPr>
      <w:r>
        <w:rPr>
          <w:rFonts w:ascii="Arial" w:hAnsi="Arial"/>
          <w:color w:val="0D1B3E"/>
          <w:sz w:val="20"/>
        </w:rPr>
        <w:t>5p–11p flat cost per transaction regardless of basket size</w:t>
      </w:r>
    </w:p>
    <w:p>
      <w:pPr>
        <w:pStyle w:val="ListBullet"/>
        <w:spacing w:after="60"/>
        <w:ind w:left="567"/>
      </w:pPr>
      <w:r>
        <w:rPr>
          <w:rFonts w:ascii="Arial" w:hAnsi="Arial"/>
          <w:color w:val="0D1B3E"/>
          <w:sz w:val="20"/>
        </w:rPr>
        <w:t>25p–55p net interchange revenue per transaction from day one</w:t>
      </w:r>
    </w:p>
    <w:p>
      <w:pPr>
        <w:pStyle w:val="ListBullet"/>
        <w:spacing w:after="60"/>
        <w:ind w:left="567"/>
      </w:pPr>
      <w:r>
        <w:rPr>
          <w:rFonts w:ascii="Arial" w:hAnsi="Arial"/>
          <w:color w:val="0D1B3E"/>
          <w:sz w:val="20"/>
        </w:rPr>
        <w:t>LTV of £76–£131 per active customer over 24 months</w:t>
      </w:r>
    </w:p>
    <w:p>
      <w:pPr>
        <w:pStyle w:val="ListBullet"/>
        <w:spacing w:after="60"/>
        <w:ind w:left="567"/>
      </w:pPr>
      <w:r>
        <w:rPr>
          <w:rFonts w:ascii="Arial" w:hAnsi="Arial"/>
          <w:color w:val="0D1B3E"/>
          <w:sz w:val="20"/>
        </w:rPr>
        <w:t>PISP registration only — no EMI licence, no safeguarding overhead</w:t>
      </w:r>
    </w:p>
    <w:p/>
    <w:p>
      <w:pPr>
        <w:spacing w:before="200"/>
      </w:pPr>
      <w:r>
        <w:rPr>
          <w:rFonts w:ascii="Arial" w:hAnsi="Arial"/>
          <w:b/>
          <w:color w:val="0D1B3E"/>
          <w:sz w:val="21"/>
        </w:rPr>
        <w:t>This architecture turns the payment layer from a cost centre into a primary revenue engine — making GoOuts structurally profitable on every single customer transaction before affiliate partner commission is included.</w:t>
      </w:r>
    </w:p>
    <w:p/>
    <w:p>
      <w:r>
        <w:rPr>
          <w:rFonts w:ascii="Arial" w:hAnsi="Arial"/>
          <w:i/>
          <w:color w:val="64748B"/>
          <w:sz w:val="16"/>
        </w:rPr>
        <w:t>Confidential — GoOuts Ltd · Prepared May 2026 · Architecture based on GoOuts Technical Spec V4 (JIT-VRP Engine Document)</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