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A42E5" w14:textId="77777777" w:rsidR="00C142C7" w:rsidRDefault="00C142C7" w:rsidP="00C142C7">
      <w:pPr>
        <w:pStyle w:val="Heading2"/>
      </w:pPr>
      <w:r>
        <w:t>Case Study 1: Cloud Storage and Data Leakage at a Marketing Firm</w:t>
      </w:r>
    </w:p>
    <w:p w14:paraId="02A50CAF" w14:textId="77777777" w:rsidR="00C142C7" w:rsidRPr="00C142C7" w:rsidRDefault="00C142C7" w:rsidP="00C142C7">
      <w:pPr>
        <w:rPr>
          <w:b/>
          <w:bCs/>
        </w:rPr>
      </w:pPr>
      <w:r w:rsidRPr="00C142C7">
        <w:rPr>
          <w:b/>
          <w:bCs/>
        </w:rPr>
        <w:t>Context</w:t>
      </w:r>
    </w:p>
    <w:p w14:paraId="1F6919B2" w14:textId="30904EB4" w:rsidR="00C142C7" w:rsidRDefault="00C142C7" w:rsidP="00C142C7">
      <w:r>
        <w:t>A mid-sized marketing agency allowed employees to use cloud services for collaboration but failed to clearly define or enforce approved platforms. A project team, under tight deadlines, began using a free version of a public file-sharing service not sanctioned by IT.</w:t>
      </w:r>
    </w:p>
    <w:p w14:paraId="1E0B79DD" w14:textId="77777777" w:rsidR="00C142C7" w:rsidRPr="00C142C7" w:rsidRDefault="00C142C7" w:rsidP="00C142C7">
      <w:pPr>
        <w:rPr>
          <w:b/>
          <w:bCs/>
        </w:rPr>
      </w:pPr>
      <w:r w:rsidRPr="00C142C7">
        <w:rPr>
          <w:b/>
          <w:bCs/>
        </w:rPr>
        <w:t>Incident</w:t>
      </w:r>
    </w:p>
    <w:p w14:paraId="1F7F2941" w14:textId="2B28239D" w:rsidR="00C142C7" w:rsidRDefault="00C142C7" w:rsidP="00C142C7">
      <w:r>
        <w:t>An employee accidentally shared a folder containing sensitive client data via a public link. The folder was indexed by search engines, leading to the exposure of personally identifiable information (PII) and confidential marketing strategies.</w:t>
      </w:r>
    </w:p>
    <w:p w14:paraId="6C5E6213" w14:textId="77777777" w:rsidR="00C142C7" w:rsidRPr="00C142C7" w:rsidRDefault="00C142C7" w:rsidP="00C142C7">
      <w:pPr>
        <w:rPr>
          <w:b/>
          <w:bCs/>
        </w:rPr>
      </w:pPr>
      <w:r w:rsidRPr="00C142C7">
        <w:rPr>
          <w:b/>
          <w:bCs/>
        </w:rPr>
        <w:t>Outcome</w:t>
      </w:r>
    </w:p>
    <w:p w14:paraId="2BA04E97" w14:textId="3DEAF7CE" w:rsidR="00C142C7" w:rsidRDefault="00C142C7" w:rsidP="00C142C7">
      <w:r>
        <w:t>The company faced reputational damage and a financial penalty under regional privacy laws. A review revealed that over a dozen unapproved cloud applications were in use, bypassing existing controls.</w:t>
      </w:r>
    </w:p>
    <w:p w14:paraId="3FF3C24F" w14:textId="77777777" w:rsidR="00C142C7" w:rsidRPr="00C142C7" w:rsidRDefault="00C142C7" w:rsidP="00C142C7">
      <w:pPr>
        <w:rPr>
          <w:b/>
          <w:bCs/>
        </w:rPr>
      </w:pPr>
      <w:r w:rsidRPr="00C142C7">
        <w:rPr>
          <w:b/>
          <w:bCs/>
        </w:rPr>
        <w:t>Key Lesson</w:t>
      </w:r>
    </w:p>
    <w:p w14:paraId="0572272C" w14:textId="39401355" w:rsidR="00C142C7" w:rsidRDefault="00C142C7" w:rsidP="00C142C7">
      <w:r>
        <w:t>Shadow IT often originates from productivity needs. Lack of guidance and governance around approved tools can quickly lead to data breaches</w:t>
      </w:r>
      <w:r w:rsidR="001E0237">
        <w:t xml:space="preserve"> (</w:t>
      </w:r>
      <w:r w:rsidR="001E0237" w:rsidRPr="001E0237">
        <w:t>Huang</w:t>
      </w:r>
      <w:r w:rsidR="001E0237">
        <w:t xml:space="preserve"> 2023)</w:t>
      </w:r>
      <w:r>
        <w:t>.</w:t>
      </w:r>
    </w:p>
    <w:p w14:paraId="075567A1" w14:textId="6252702D" w:rsidR="00C142C7" w:rsidRDefault="00102895" w:rsidP="00102895">
      <w:pPr>
        <w:ind w:left="7200"/>
      </w:pPr>
      <w:r>
        <w:t>(</w:t>
      </w:r>
      <w:r w:rsidRPr="00C142C7">
        <w:t>Gracy</w:t>
      </w:r>
      <w:r>
        <w:t xml:space="preserve"> 2025)</w:t>
      </w:r>
    </w:p>
    <w:p w14:paraId="72753825" w14:textId="77777777" w:rsidR="00C142C7" w:rsidRDefault="00C142C7" w:rsidP="00C142C7">
      <w:pPr>
        <w:pStyle w:val="Heading2"/>
      </w:pPr>
      <w:r>
        <w:t>Case Study 2: Finance Department Using Unauthorized Budget Software</w:t>
      </w:r>
    </w:p>
    <w:p w14:paraId="15F7C72D" w14:textId="77777777" w:rsidR="00C142C7" w:rsidRPr="00C142C7" w:rsidRDefault="00C142C7" w:rsidP="00C142C7">
      <w:pPr>
        <w:rPr>
          <w:b/>
          <w:bCs/>
        </w:rPr>
      </w:pPr>
      <w:r w:rsidRPr="00C142C7">
        <w:rPr>
          <w:b/>
          <w:bCs/>
        </w:rPr>
        <w:t>Context</w:t>
      </w:r>
    </w:p>
    <w:p w14:paraId="791FCBD7" w14:textId="60759C44" w:rsidR="00C142C7" w:rsidRDefault="00C142C7" w:rsidP="00C142C7">
      <w:r>
        <w:t>In a large enterprise, a group within the finance department began using a third-party budgeting app without notifying IT, citing frustrations with the speed of internal systems.</w:t>
      </w:r>
    </w:p>
    <w:p w14:paraId="53DBF2A9" w14:textId="77777777" w:rsidR="00C142C7" w:rsidRPr="00C142C7" w:rsidRDefault="00C142C7" w:rsidP="00C142C7">
      <w:pPr>
        <w:rPr>
          <w:b/>
          <w:bCs/>
        </w:rPr>
      </w:pPr>
      <w:r w:rsidRPr="00C142C7">
        <w:rPr>
          <w:b/>
          <w:bCs/>
        </w:rPr>
        <w:t>Incident</w:t>
      </w:r>
    </w:p>
    <w:p w14:paraId="6D05478C" w14:textId="68C0142F" w:rsidR="00C142C7" w:rsidRDefault="00C142C7" w:rsidP="00C142C7">
      <w:r>
        <w:t>The app stored financial data on servers located outside the country, violating the company’s data residency requirements. A third-party audit flagged this non-compliance during routine assessments, which could have triggered legal action from regulators</w:t>
      </w:r>
      <w:r w:rsidR="00DD3703">
        <w:t xml:space="preserve"> (</w:t>
      </w:r>
      <w:r w:rsidR="00DD3703" w:rsidRPr="00DD3703">
        <w:t>Mishra</w:t>
      </w:r>
      <w:r w:rsidR="00DD3703">
        <w:t xml:space="preserve"> 2022)</w:t>
      </w:r>
      <w:r>
        <w:t>.</w:t>
      </w:r>
    </w:p>
    <w:p w14:paraId="7E96C575" w14:textId="77777777" w:rsidR="00C142C7" w:rsidRPr="00C142C7" w:rsidRDefault="00C142C7" w:rsidP="00C142C7">
      <w:pPr>
        <w:rPr>
          <w:b/>
          <w:bCs/>
        </w:rPr>
      </w:pPr>
      <w:r w:rsidRPr="00C142C7">
        <w:rPr>
          <w:b/>
          <w:bCs/>
        </w:rPr>
        <w:t>Outcome</w:t>
      </w:r>
    </w:p>
    <w:p w14:paraId="2E2F7042" w14:textId="53181D50" w:rsidR="00C142C7" w:rsidRDefault="00C142C7" w:rsidP="00C142C7">
      <w:r>
        <w:t>The company avoided fines but had to implement costly remediation efforts, including data migration, supplier audits, and updated training. Employees involved claimed they were unaware of the regulatory implications.</w:t>
      </w:r>
    </w:p>
    <w:p w14:paraId="6CF26220" w14:textId="77777777" w:rsidR="00C142C7" w:rsidRPr="00C142C7" w:rsidRDefault="00C142C7" w:rsidP="00C142C7">
      <w:pPr>
        <w:rPr>
          <w:b/>
          <w:bCs/>
        </w:rPr>
      </w:pPr>
      <w:r w:rsidRPr="00C142C7">
        <w:rPr>
          <w:b/>
          <w:bCs/>
        </w:rPr>
        <w:t>Key Lesson</w:t>
      </w:r>
    </w:p>
    <w:p w14:paraId="2C468C2E" w14:textId="6F17E87E" w:rsidR="00C142C7" w:rsidRDefault="00C142C7" w:rsidP="00C142C7">
      <w:r>
        <w:t>Shadow IT may not always be malicious</w:t>
      </w:r>
      <w:r w:rsidR="00102895">
        <w:t>. I</w:t>
      </w:r>
      <w:r>
        <w:t>t often results from gaps between user needs and IT responsiveness. However, even well-intentioned tool use can cause significant compliance risks.</w:t>
      </w:r>
    </w:p>
    <w:p w14:paraId="297C88CB" w14:textId="77777777" w:rsidR="00C142C7" w:rsidRDefault="00C142C7" w:rsidP="00C142C7">
      <w:pPr>
        <w:pStyle w:val="Heading2"/>
      </w:pPr>
      <w:r>
        <w:lastRenderedPageBreak/>
        <w:t>Case Study 3: Healthcare Provider’s Use of Unauthorized Messaging Apps</w:t>
      </w:r>
    </w:p>
    <w:p w14:paraId="2998A38C" w14:textId="77777777" w:rsidR="00C142C7" w:rsidRPr="00C142C7" w:rsidRDefault="00C142C7" w:rsidP="00C142C7">
      <w:pPr>
        <w:rPr>
          <w:b/>
          <w:bCs/>
        </w:rPr>
      </w:pPr>
      <w:r w:rsidRPr="00C142C7">
        <w:rPr>
          <w:b/>
          <w:bCs/>
        </w:rPr>
        <w:t>Context</w:t>
      </w:r>
    </w:p>
    <w:p w14:paraId="6EEB284C" w14:textId="5650E1BB" w:rsidR="00C142C7" w:rsidRDefault="00C142C7" w:rsidP="00C142C7">
      <w:r>
        <w:t>Healthcare workers at a hospital began using consumer-grade messaging apps (e.g., WhatsApp, Messenger) to share patient updates, citing delays and usability issues in the hospital’s official system.</w:t>
      </w:r>
    </w:p>
    <w:p w14:paraId="4E75D45C" w14:textId="77777777" w:rsidR="00C142C7" w:rsidRPr="00C142C7" w:rsidRDefault="00C142C7" w:rsidP="00C142C7">
      <w:pPr>
        <w:rPr>
          <w:b/>
          <w:bCs/>
        </w:rPr>
      </w:pPr>
      <w:r w:rsidRPr="00C142C7">
        <w:rPr>
          <w:b/>
          <w:bCs/>
        </w:rPr>
        <w:t>Incident</w:t>
      </w:r>
    </w:p>
    <w:p w14:paraId="2BA18B27" w14:textId="31D86051" w:rsidR="00C142C7" w:rsidRDefault="00C142C7" w:rsidP="00C142C7">
      <w:r>
        <w:t>Screenshots containing patient diagnoses and personal details were shared over these platforms. One phone was later compromised through malware, exposing patient records and violating HIPAA compliance</w:t>
      </w:r>
      <w:r w:rsidR="004C6464">
        <w:t xml:space="preserve"> (</w:t>
      </w:r>
      <w:r w:rsidR="004C6464" w:rsidRPr="004C6464">
        <w:t>Webster</w:t>
      </w:r>
      <w:r w:rsidR="004C6464">
        <w:t xml:space="preserve"> 2021)</w:t>
      </w:r>
      <w:r>
        <w:t>.</w:t>
      </w:r>
    </w:p>
    <w:p w14:paraId="6F641AFA" w14:textId="77777777" w:rsidR="00C142C7" w:rsidRPr="00C142C7" w:rsidRDefault="00C142C7" w:rsidP="00C142C7">
      <w:pPr>
        <w:rPr>
          <w:b/>
          <w:bCs/>
        </w:rPr>
      </w:pPr>
      <w:r w:rsidRPr="00C142C7">
        <w:rPr>
          <w:b/>
          <w:bCs/>
        </w:rPr>
        <w:t>Outcome</w:t>
      </w:r>
    </w:p>
    <w:p w14:paraId="394DE597" w14:textId="636AD8BB" w:rsidR="00C142C7" w:rsidRDefault="00C142C7" w:rsidP="00C142C7">
      <w:r>
        <w:t>The breach led to a formal investigation, public criticism, and stricter government oversight. The hospital responded by deploying an encrypted healthcare messaging solution and enforcing stricter mobile device policies.</w:t>
      </w:r>
    </w:p>
    <w:p w14:paraId="7C6DA519" w14:textId="77777777" w:rsidR="00C142C7" w:rsidRPr="00C142C7" w:rsidRDefault="00C142C7" w:rsidP="00C142C7">
      <w:pPr>
        <w:rPr>
          <w:b/>
          <w:bCs/>
        </w:rPr>
      </w:pPr>
      <w:r w:rsidRPr="00C142C7">
        <w:rPr>
          <w:b/>
          <w:bCs/>
        </w:rPr>
        <w:t>Key Lesson</w:t>
      </w:r>
    </w:p>
    <w:p w14:paraId="1563A8B8" w14:textId="77777777" w:rsidR="00C142C7" w:rsidRDefault="00C142C7" w:rsidP="00C142C7">
      <w:r>
        <w:t>Convenience often drives shadow IT in high-pressure environments like healthcare. Unapproved communication tools can put patient privacy and institutional compliance at serious risk.</w:t>
      </w:r>
    </w:p>
    <w:p w14:paraId="2B4C5F68" w14:textId="77777777" w:rsidR="00C142C7" w:rsidRDefault="00C142C7" w:rsidP="00C142C7"/>
    <w:p w14:paraId="2BF4D3FA" w14:textId="77777777" w:rsidR="00C142C7" w:rsidRDefault="00C142C7" w:rsidP="00C142C7">
      <w:pPr>
        <w:pStyle w:val="Heading2"/>
      </w:pPr>
      <w:r>
        <w:t>Case Study 4: Shadow IT in a Software Development Startup</w:t>
      </w:r>
    </w:p>
    <w:p w14:paraId="6A74E453" w14:textId="77777777" w:rsidR="00C142C7" w:rsidRPr="00C142C7" w:rsidRDefault="00C142C7" w:rsidP="00C142C7">
      <w:pPr>
        <w:rPr>
          <w:b/>
          <w:bCs/>
        </w:rPr>
      </w:pPr>
      <w:r w:rsidRPr="00C142C7">
        <w:rPr>
          <w:b/>
          <w:bCs/>
        </w:rPr>
        <w:t>Context</w:t>
      </w:r>
    </w:p>
    <w:p w14:paraId="37A30DC6" w14:textId="4D5BF210" w:rsidR="00C142C7" w:rsidRDefault="00C142C7" w:rsidP="00C142C7">
      <w:r>
        <w:t xml:space="preserve">Developers at a tech startup adopted various third-party APIs and code repositories (e.g., GitHub, </w:t>
      </w:r>
      <w:proofErr w:type="spellStart"/>
      <w:r>
        <w:t>npm</w:t>
      </w:r>
      <w:proofErr w:type="spellEnd"/>
      <w:r>
        <w:t xml:space="preserve"> modules) without informing security teams. While common in agile environments, many of these libraries had unknown dependencies.</w:t>
      </w:r>
    </w:p>
    <w:p w14:paraId="05544597" w14:textId="77777777" w:rsidR="00C142C7" w:rsidRPr="00C142C7" w:rsidRDefault="00C142C7" w:rsidP="00C142C7">
      <w:pPr>
        <w:rPr>
          <w:b/>
          <w:bCs/>
        </w:rPr>
      </w:pPr>
      <w:r w:rsidRPr="00C142C7">
        <w:rPr>
          <w:b/>
          <w:bCs/>
        </w:rPr>
        <w:t>Incident</w:t>
      </w:r>
    </w:p>
    <w:p w14:paraId="1853EA9A" w14:textId="7D21E292" w:rsidR="00C142C7" w:rsidRDefault="00C142C7" w:rsidP="00C142C7">
      <w:r>
        <w:t>One of the used open-source components had a known vulnerability that was exploited in a targeted attack. The exploit allowed remote code execution on one of the company’s servers</w:t>
      </w:r>
      <w:r w:rsidR="0004037A">
        <w:t xml:space="preserve"> (</w:t>
      </w:r>
      <w:r w:rsidR="0004037A">
        <w:t>L</w:t>
      </w:r>
      <w:r w:rsidR="0004037A" w:rsidRPr="00793595">
        <w:t>ee</w:t>
      </w:r>
      <w:r w:rsidR="0004037A">
        <w:t xml:space="preserve"> et al. 2022)</w:t>
      </w:r>
      <w:r>
        <w:t>.</w:t>
      </w:r>
    </w:p>
    <w:p w14:paraId="665BDFE6" w14:textId="77777777" w:rsidR="00C142C7" w:rsidRPr="00C142C7" w:rsidRDefault="00C142C7" w:rsidP="00C142C7">
      <w:pPr>
        <w:rPr>
          <w:b/>
          <w:bCs/>
        </w:rPr>
      </w:pPr>
      <w:r w:rsidRPr="00C142C7">
        <w:rPr>
          <w:b/>
          <w:bCs/>
        </w:rPr>
        <w:t>Outcome</w:t>
      </w:r>
    </w:p>
    <w:p w14:paraId="15B285DF" w14:textId="62B63CE1" w:rsidR="00C142C7" w:rsidRDefault="00C142C7" w:rsidP="00C142C7">
      <w:r>
        <w:t>The startup had to take systems offline for forensic analysis. Product timelines were delayed, and the breach harmed investor confidence. Post-incident reviews showed weak version control and no review process for external code.</w:t>
      </w:r>
    </w:p>
    <w:p w14:paraId="7CC6879C" w14:textId="77777777" w:rsidR="00C142C7" w:rsidRPr="00C142C7" w:rsidRDefault="00C142C7" w:rsidP="00C142C7">
      <w:pPr>
        <w:rPr>
          <w:b/>
          <w:bCs/>
        </w:rPr>
      </w:pPr>
      <w:r w:rsidRPr="00C142C7">
        <w:rPr>
          <w:b/>
          <w:bCs/>
        </w:rPr>
        <w:t>Key Lesson</w:t>
      </w:r>
    </w:p>
    <w:p w14:paraId="674D7670" w14:textId="77777777" w:rsidR="00C142C7" w:rsidRDefault="00C142C7" w:rsidP="00C142C7">
      <w:r>
        <w:t>Shadow IT in technical teams often involves development tools. While innovation is crucial, unvetted components can create backdoors into critical systems.</w:t>
      </w:r>
    </w:p>
    <w:p w14:paraId="21C58FD0" w14:textId="77777777" w:rsidR="00C142C7" w:rsidRDefault="00C142C7" w:rsidP="00C142C7"/>
    <w:p w14:paraId="341A26C2" w14:textId="77777777" w:rsidR="00C142C7" w:rsidRDefault="00C142C7" w:rsidP="00C142C7"/>
    <w:p w14:paraId="332AF255" w14:textId="77777777" w:rsidR="00C142C7" w:rsidRDefault="00C142C7" w:rsidP="00C142C7">
      <w:pPr>
        <w:pStyle w:val="Heading2"/>
      </w:pPr>
      <w:r>
        <w:lastRenderedPageBreak/>
        <w:t>Case Study 5: Education Sector’s Unmonitored Online Tools</w:t>
      </w:r>
    </w:p>
    <w:p w14:paraId="119F8392" w14:textId="77777777" w:rsidR="00C142C7" w:rsidRPr="00C142C7" w:rsidRDefault="00C142C7" w:rsidP="00C142C7">
      <w:pPr>
        <w:rPr>
          <w:b/>
          <w:bCs/>
        </w:rPr>
      </w:pPr>
      <w:r w:rsidRPr="00C142C7">
        <w:rPr>
          <w:b/>
          <w:bCs/>
        </w:rPr>
        <w:t>Context</w:t>
      </w:r>
    </w:p>
    <w:p w14:paraId="6DD42D2F" w14:textId="3F5C3053" w:rsidR="00C142C7" w:rsidRDefault="00C142C7" w:rsidP="00C142C7">
      <w:r>
        <w:t>Teachers at a university began using free online quiz and grading platforms to supplement learning, without consulting IT or academic leadership. These platforms required student email logins and stored performance data.</w:t>
      </w:r>
    </w:p>
    <w:p w14:paraId="7FD666E5" w14:textId="77777777" w:rsidR="00C142C7" w:rsidRPr="00C142C7" w:rsidRDefault="00C142C7" w:rsidP="00C142C7">
      <w:pPr>
        <w:rPr>
          <w:b/>
          <w:bCs/>
        </w:rPr>
      </w:pPr>
      <w:r w:rsidRPr="00C142C7">
        <w:rPr>
          <w:b/>
          <w:bCs/>
        </w:rPr>
        <w:t>Incident</w:t>
      </w:r>
    </w:p>
    <w:p w14:paraId="44D0ED9C" w14:textId="26CF2AD2" w:rsidR="00C142C7" w:rsidRDefault="00C142C7" w:rsidP="00C142C7">
      <w:r>
        <w:t>One platform was compromised, exposing student grades and login credentials. Since the tool was not under institutional control, the university had no visibility or recourse during the breach</w:t>
      </w:r>
      <w:r w:rsidR="0004037A">
        <w:t xml:space="preserve"> (</w:t>
      </w:r>
      <w:r w:rsidR="0004037A" w:rsidRPr="0004037A">
        <w:t>Gomez</w:t>
      </w:r>
      <w:r w:rsidR="0004037A">
        <w:t xml:space="preserve"> 2024)</w:t>
      </w:r>
      <w:r>
        <w:t>.</w:t>
      </w:r>
    </w:p>
    <w:p w14:paraId="1E3853BD" w14:textId="77777777" w:rsidR="00C142C7" w:rsidRPr="00C142C7" w:rsidRDefault="00C142C7" w:rsidP="00C142C7">
      <w:pPr>
        <w:rPr>
          <w:b/>
          <w:bCs/>
        </w:rPr>
      </w:pPr>
      <w:r w:rsidRPr="00C142C7">
        <w:rPr>
          <w:b/>
          <w:bCs/>
        </w:rPr>
        <w:t>Outcome</w:t>
      </w:r>
    </w:p>
    <w:p w14:paraId="4E461367" w14:textId="51102DB5" w:rsidR="00C142C7" w:rsidRDefault="00C142C7" w:rsidP="00C142C7">
      <w:r>
        <w:t>The breach prompted an overhaul of digital tool policies in academic settings. A central repository of approved educational tech was introduced, and teachers received training on digital responsibility.</w:t>
      </w:r>
    </w:p>
    <w:p w14:paraId="716325C4" w14:textId="77777777" w:rsidR="00C142C7" w:rsidRPr="00C142C7" w:rsidRDefault="00C142C7" w:rsidP="00C142C7">
      <w:pPr>
        <w:rPr>
          <w:b/>
          <w:bCs/>
        </w:rPr>
      </w:pPr>
      <w:r w:rsidRPr="00C142C7">
        <w:rPr>
          <w:b/>
          <w:bCs/>
        </w:rPr>
        <w:t>Key Lesson</w:t>
      </w:r>
    </w:p>
    <w:p w14:paraId="03ACB7C2" w14:textId="77777777" w:rsidR="00C142C7" w:rsidRDefault="00C142C7" w:rsidP="00C142C7">
      <w:r>
        <w:t>In education, shadow IT often stems from a desire to enhance learning. However, unvetted educational apps can compromise student privacy and institutional trust.</w:t>
      </w:r>
    </w:p>
    <w:p w14:paraId="56387D79" w14:textId="77777777" w:rsidR="00C142C7" w:rsidRDefault="00C142C7" w:rsidP="00C142C7"/>
    <w:p w14:paraId="10F029E1" w14:textId="56064E14" w:rsidR="00C142C7" w:rsidRDefault="00C142C7" w:rsidP="00C142C7">
      <w:pPr>
        <w:pStyle w:val="Heading1"/>
      </w:pPr>
      <w:r>
        <w:t>References</w:t>
      </w:r>
    </w:p>
    <w:p w14:paraId="3BFDAD7E" w14:textId="0DBBA073" w:rsidR="00C142C7" w:rsidRDefault="00C142C7" w:rsidP="00C142C7">
      <w:r w:rsidRPr="00C142C7">
        <w:t>Gracy, S.S. 2025</w:t>
      </w:r>
      <w:r>
        <w:t>, ‘</w:t>
      </w:r>
      <w:r w:rsidRPr="00C142C7">
        <w:t>A global analysis of data breaches from 2004 to 2024</w:t>
      </w:r>
      <w:r>
        <w:t>’.</w:t>
      </w:r>
    </w:p>
    <w:p w14:paraId="770BACEC" w14:textId="6B65F1FD" w:rsidR="001E0237" w:rsidRDefault="001E0237" w:rsidP="00C142C7">
      <w:r w:rsidRPr="001E0237">
        <w:t xml:space="preserve">Huang, K.B. 2023, </w:t>
      </w:r>
      <w:r>
        <w:t>‘</w:t>
      </w:r>
      <w:r w:rsidRPr="001E0237">
        <w:t>Unveiling Shadows: A framework for identifying, assessing, and mitigating risks associated with Shadow IT</w:t>
      </w:r>
      <w:r>
        <w:t>’.</w:t>
      </w:r>
    </w:p>
    <w:p w14:paraId="0B4DF67F" w14:textId="75209543" w:rsidR="00DD3703" w:rsidRDefault="00DD3703" w:rsidP="00C142C7">
      <w:r w:rsidRPr="00DD3703">
        <w:t>Mishra, A. 2022, Modern cybersecurity strategies for enterprises: Protect and secure your enterprise networks, digital business assets, and endpoint security with tested and proven methods (English edition), E-book, BPB Publications.</w:t>
      </w:r>
    </w:p>
    <w:p w14:paraId="2FF2C0F9" w14:textId="38751C86" w:rsidR="004C6464" w:rsidRDefault="004C6464" w:rsidP="00C142C7">
      <w:r w:rsidRPr="004C6464">
        <w:t xml:space="preserve">Webster, M. 2021, </w:t>
      </w:r>
      <w:r>
        <w:t>‘</w:t>
      </w:r>
      <w:r w:rsidRPr="004C6464">
        <w:t>Do no harm: Protecting connected medical devices, healthcare, and data from hackers and adversarial nation states</w:t>
      </w:r>
      <w:r>
        <w:t>’</w:t>
      </w:r>
      <w:r w:rsidRPr="004C6464">
        <w:t>, E-book, John Wiley &amp; Sons.</w:t>
      </w:r>
    </w:p>
    <w:p w14:paraId="154E11DD" w14:textId="73E6ADBF" w:rsidR="00C142C7" w:rsidRDefault="00112B4D" w:rsidP="00C142C7">
      <w:r>
        <w:t>L</w:t>
      </w:r>
      <w:r w:rsidR="00793595" w:rsidRPr="00793595">
        <w:t>ee, D.K.C., Lim, J., Phoon, K.F. &amp; Wang, Y. 2022, Applications and trends in fintech II: Cloud computing, compliance, and global fintech trends, vol. 5</w:t>
      </w:r>
      <w:r w:rsidR="00793595">
        <w:t>.</w:t>
      </w:r>
    </w:p>
    <w:p w14:paraId="33069D56" w14:textId="7E9D4A42" w:rsidR="0004037A" w:rsidRPr="00C142C7" w:rsidRDefault="0004037A" w:rsidP="00C142C7">
      <w:r w:rsidRPr="0004037A">
        <w:t xml:space="preserve">Gomez Orr, S., </w:t>
      </w:r>
      <w:proofErr w:type="spellStart"/>
      <w:r w:rsidRPr="0004037A">
        <w:t>Bonyadi</w:t>
      </w:r>
      <w:proofErr w:type="spellEnd"/>
      <w:r w:rsidRPr="0004037A">
        <w:t>, C.J., Golaszewski, E., Sherman, A.T., Peterson, P.A.H. &amp; Forno, R. 2024</w:t>
      </w:r>
      <w:r>
        <w:t>, ‘</w:t>
      </w:r>
      <w:r w:rsidRPr="0004037A">
        <w:t>Shadow IT in higher education: survey and case study for cybersecurit</w:t>
      </w:r>
      <w:r w:rsidR="00DA64E2">
        <w:t>y</w:t>
      </w:r>
      <w:r>
        <w:t>’,</w:t>
      </w:r>
      <w:r w:rsidRPr="0004037A">
        <w:t xml:space="preserve"> </w:t>
      </w:r>
      <w:proofErr w:type="spellStart"/>
      <w:r w:rsidRPr="0004037A">
        <w:rPr>
          <w:i/>
          <w:iCs/>
        </w:rPr>
        <w:t>Cryptologia</w:t>
      </w:r>
      <w:proofErr w:type="spellEnd"/>
      <w:r w:rsidRPr="0004037A">
        <w:t xml:space="preserve">, </w:t>
      </w:r>
      <w:r>
        <w:t xml:space="preserve">vol. </w:t>
      </w:r>
      <w:r w:rsidRPr="0004037A">
        <w:t>48</w:t>
      </w:r>
      <w:r>
        <w:t xml:space="preserve">, no. </w:t>
      </w:r>
      <w:r w:rsidRPr="0004037A">
        <w:t>1, pp.</w:t>
      </w:r>
      <w:r>
        <w:t xml:space="preserve"> </w:t>
      </w:r>
      <w:r w:rsidRPr="0004037A">
        <w:t>26</w:t>
      </w:r>
      <w:r>
        <w:t>-</w:t>
      </w:r>
      <w:r w:rsidRPr="0004037A">
        <w:t>90.</w:t>
      </w:r>
    </w:p>
    <w:sectPr w:rsidR="0004037A" w:rsidRPr="00C14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C7"/>
    <w:rsid w:val="0004037A"/>
    <w:rsid w:val="000473F5"/>
    <w:rsid w:val="00102895"/>
    <w:rsid w:val="00112B4D"/>
    <w:rsid w:val="001E0237"/>
    <w:rsid w:val="0027158E"/>
    <w:rsid w:val="00365452"/>
    <w:rsid w:val="004728CE"/>
    <w:rsid w:val="004C6464"/>
    <w:rsid w:val="004C7E6A"/>
    <w:rsid w:val="005A19CF"/>
    <w:rsid w:val="0067245C"/>
    <w:rsid w:val="00793595"/>
    <w:rsid w:val="00953791"/>
    <w:rsid w:val="00B7432A"/>
    <w:rsid w:val="00C142C7"/>
    <w:rsid w:val="00C63336"/>
    <w:rsid w:val="00DA64E2"/>
    <w:rsid w:val="00DD3703"/>
    <w:rsid w:val="00ED59F3"/>
    <w:rsid w:val="00FC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8E276"/>
  <w15:chartTrackingRefBased/>
  <w15:docId w15:val="{A7B3F8BF-AF54-4BC9-BCE2-60368251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E6A"/>
    <w:pPr>
      <w:spacing w:after="200" w:line="276" w:lineRule="auto"/>
      <w:jc w:val="both"/>
    </w:pPr>
    <w:rPr>
      <w:rFonts w:ascii="Times New Roman" w:hAnsi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F3"/>
    <w:pPr>
      <w:keepNext/>
      <w:keepLines/>
      <w:spacing w:before="360" w:after="80"/>
      <w:outlineLvl w:val="0"/>
    </w:pPr>
    <w:rPr>
      <w:rFonts w:eastAsiaTheme="majorEastAsia" w:cstheme="majorBidi"/>
      <w:b/>
      <w:sz w:val="44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791"/>
    <w:pPr>
      <w:keepNext/>
      <w:keepLines/>
      <w:spacing w:before="160" w:after="80" w:line="259" w:lineRule="auto"/>
      <w:outlineLvl w:val="1"/>
    </w:pPr>
    <w:rPr>
      <w:rFonts w:eastAsiaTheme="majorEastAsia" w:cstheme="majorBidi"/>
      <w:b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FC0C0B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2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2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2C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2C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2C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2C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379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D59F3"/>
    <w:rPr>
      <w:rFonts w:ascii="Times New Roman" w:eastAsiaTheme="majorEastAsia" w:hAnsi="Times New Roman" w:cstheme="majorBidi"/>
      <w:b/>
      <w:kern w:val="0"/>
      <w:sz w:val="44"/>
      <w:szCs w:val="4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C0B"/>
    <w:rPr>
      <w:rFonts w:ascii="Times New Roman" w:eastAsiaTheme="majorEastAsia" w:hAnsi="Times New Roman" w:cstheme="majorBidi"/>
      <w:b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2C7"/>
    <w:rPr>
      <w:rFonts w:eastAsiaTheme="majorEastAsia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2C7"/>
    <w:rPr>
      <w:rFonts w:eastAsiaTheme="majorEastAsia" w:cstheme="majorBidi"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2C7"/>
    <w:rPr>
      <w:rFonts w:eastAsiaTheme="majorEastAsia" w:cstheme="majorBidi"/>
      <w:i/>
      <w:iCs/>
      <w:color w:val="595959" w:themeColor="text1" w:themeTint="A6"/>
      <w:kern w:val="0"/>
      <w:sz w:val="22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2C7"/>
    <w:rPr>
      <w:rFonts w:eastAsiaTheme="majorEastAsia" w:cstheme="majorBidi"/>
      <w:color w:val="595959" w:themeColor="text1" w:themeTint="A6"/>
      <w:kern w:val="0"/>
      <w:sz w:val="22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2C7"/>
    <w:rPr>
      <w:rFonts w:eastAsiaTheme="majorEastAsia" w:cstheme="majorBidi"/>
      <w:i/>
      <w:iCs/>
      <w:color w:val="272727" w:themeColor="text1" w:themeTint="D8"/>
      <w:kern w:val="0"/>
      <w:sz w:val="22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2C7"/>
    <w:rPr>
      <w:rFonts w:eastAsiaTheme="majorEastAsia" w:cstheme="majorBidi"/>
      <w:color w:val="272727" w:themeColor="text1" w:themeTint="D8"/>
      <w:kern w:val="0"/>
      <w:sz w:val="22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14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2C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2C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2C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142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2C7"/>
    <w:rPr>
      <w:rFonts w:ascii="Times New Roman" w:hAnsi="Times New Roman"/>
      <w:i/>
      <w:iCs/>
      <w:color w:val="404040" w:themeColor="text1" w:themeTint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C14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2C7"/>
    <w:rPr>
      <w:rFonts w:ascii="Times New Roman" w:hAnsi="Times New Roman"/>
      <w:i/>
      <w:iCs/>
      <w:color w:val="0F4761" w:themeColor="accent1" w:themeShade="BF"/>
      <w:kern w:val="0"/>
      <w:sz w:val="22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142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4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841</Words>
  <Characters>4795</Characters>
  <Application>Microsoft Office Word</Application>
  <DocSecurity>0</DocSecurity>
  <Lines>39</Lines>
  <Paragraphs>11</Paragraphs>
  <ScaleCrop>false</ScaleCrop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Manavi Nayanathara Thathsarani KEHELKADUWA VITHANAGE</dc:creator>
  <cp:keywords/>
  <dc:description/>
  <cp:lastModifiedBy>Manavi Nayanathara Thathsarani KEHELKADUWA VITHANAGE</cp:lastModifiedBy>
  <cp:revision>10</cp:revision>
  <dcterms:created xsi:type="dcterms:W3CDTF">2025-05-06T00:38:00Z</dcterms:created>
  <dcterms:modified xsi:type="dcterms:W3CDTF">2025-05-06T01:28:00Z</dcterms:modified>
</cp:coreProperties>
</file>