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AF78E" w14:textId="77777777" w:rsidR="009F25E3" w:rsidRDefault="009F25E3" w:rsidP="009F25E3">
      <w:pPr>
        <w:pStyle w:val="Heading1"/>
      </w:pPr>
      <w:r>
        <w:t>Training Plan: Approved Tools, Acceptable Use Policies, and Shadow IT Awareness</w:t>
      </w:r>
    </w:p>
    <w:p w14:paraId="2447DF59" w14:textId="77777777" w:rsidR="009F25E3" w:rsidRDefault="009F25E3" w:rsidP="009F25E3">
      <w:pPr>
        <w:pStyle w:val="Heading2"/>
      </w:pPr>
      <w:r>
        <w:t>1. Objective</w:t>
      </w:r>
    </w:p>
    <w:p w14:paraId="430A3931" w14:textId="6CA693DD" w:rsidR="009F25E3" w:rsidRDefault="009F25E3" w:rsidP="009F25E3">
      <w:r>
        <w:t>To educate all staff on the secure and responsible use of organizational tools, reinforce compliance with acceptable use policies, and raise awareness about the risks and consequences of using unauthorized systems (shadow IT), thereby strengthening the organization’s cybersecurity posture.</w:t>
      </w:r>
    </w:p>
    <w:p w14:paraId="7A40E9A2" w14:textId="77777777" w:rsidR="009F25E3" w:rsidRDefault="009F25E3" w:rsidP="009F25E3">
      <w:pPr>
        <w:pStyle w:val="Heading2"/>
      </w:pPr>
      <w:r>
        <w:t>2. Target Audience</w:t>
      </w:r>
    </w:p>
    <w:p w14:paraId="406D436B" w14:textId="4D837826" w:rsidR="009F25E3" w:rsidRDefault="009F25E3" w:rsidP="009F25E3">
      <w:pPr>
        <w:pStyle w:val="ListParagraph"/>
        <w:numPr>
          <w:ilvl w:val="0"/>
          <w:numId w:val="8"/>
        </w:numPr>
      </w:pPr>
      <w:r>
        <w:t>All full-time and part-time employees</w:t>
      </w:r>
    </w:p>
    <w:p w14:paraId="784B1120" w14:textId="47A5352D" w:rsidR="009F25E3" w:rsidRDefault="009F25E3" w:rsidP="009F25E3">
      <w:pPr>
        <w:pStyle w:val="ListParagraph"/>
        <w:numPr>
          <w:ilvl w:val="0"/>
          <w:numId w:val="8"/>
        </w:numPr>
      </w:pPr>
      <w:r>
        <w:t>Contractors and third-party service providers with system access</w:t>
      </w:r>
    </w:p>
    <w:p w14:paraId="2342832E" w14:textId="207881CC" w:rsidR="009F25E3" w:rsidRDefault="009F25E3" w:rsidP="009F25E3">
      <w:pPr>
        <w:pStyle w:val="ListParagraph"/>
        <w:numPr>
          <w:ilvl w:val="0"/>
          <w:numId w:val="8"/>
        </w:numPr>
      </w:pPr>
      <w:r>
        <w:t>New hires (as part of onboarding)</w:t>
      </w:r>
    </w:p>
    <w:p w14:paraId="49AF3FAC" w14:textId="77777777" w:rsidR="009F25E3" w:rsidRDefault="009F25E3" w:rsidP="009F25E3">
      <w:pPr>
        <w:pStyle w:val="Heading2"/>
      </w:pPr>
      <w:r>
        <w:t>3. Training Frequency and Format</w:t>
      </w:r>
    </w:p>
    <w:tbl>
      <w:tblPr>
        <w:tblStyle w:val="GridTable6Colorful-Accent6"/>
        <w:tblW w:w="0" w:type="auto"/>
        <w:tblLook w:val="04A0" w:firstRow="1" w:lastRow="0" w:firstColumn="1" w:lastColumn="0" w:noHBand="0" w:noVBand="1"/>
      </w:tblPr>
      <w:tblGrid>
        <w:gridCol w:w="2254"/>
        <w:gridCol w:w="2254"/>
        <w:gridCol w:w="2254"/>
        <w:gridCol w:w="2254"/>
      </w:tblGrid>
      <w:tr w:rsidR="009F25E3" w:rsidRPr="009F25E3" w14:paraId="0E9AC3F4" w14:textId="77777777" w:rsidTr="009F2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A02E87B" w14:textId="77777777" w:rsidR="009F25E3" w:rsidRPr="009F25E3" w:rsidRDefault="009F25E3" w:rsidP="006D3589">
            <w:r w:rsidRPr="009F25E3">
              <w:t>Session Type</w:t>
            </w:r>
          </w:p>
        </w:tc>
        <w:tc>
          <w:tcPr>
            <w:tcW w:w="2254" w:type="dxa"/>
          </w:tcPr>
          <w:p w14:paraId="5C9DA461" w14:textId="77777777" w:rsidR="009F25E3" w:rsidRPr="009F25E3" w:rsidRDefault="009F25E3" w:rsidP="006D3589">
            <w:pPr>
              <w:cnfStyle w:val="100000000000" w:firstRow="1" w:lastRow="0" w:firstColumn="0" w:lastColumn="0" w:oddVBand="0" w:evenVBand="0" w:oddHBand="0" w:evenHBand="0" w:firstRowFirstColumn="0" w:firstRowLastColumn="0" w:lastRowFirstColumn="0" w:lastRowLastColumn="0"/>
            </w:pPr>
            <w:r w:rsidRPr="009F25E3">
              <w:t>Frequency</w:t>
            </w:r>
          </w:p>
        </w:tc>
        <w:tc>
          <w:tcPr>
            <w:tcW w:w="2254" w:type="dxa"/>
          </w:tcPr>
          <w:p w14:paraId="26B7F415" w14:textId="77777777" w:rsidR="009F25E3" w:rsidRPr="009F25E3" w:rsidRDefault="009F25E3" w:rsidP="006D3589">
            <w:pPr>
              <w:cnfStyle w:val="100000000000" w:firstRow="1" w:lastRow="0" w:firstColumn="0" w:lastColumn="0" w:oddVBand="0" w:evenVBand="0" w:oddHBand="0" w:evenHBand="0" w:firstRowFirstColumn="0" w:firstRowLastColumn="0" w:lastRowFirstColumn="0" w:lastRowLastColumn="0"/>
            </w:pPr>
            <w:r w:rsidRPr="009F25E3">
              <w:t>Format</w:t>
            </w:r>
          </w:p>
        </w:tc>
        <w:tc>
          <w:tcPr>
            <w:tcW w:w="2254" w:type="dxa"/>
          </w:tcPr>
          <w:p w14:paraId="7A1B911B" w14:textId="77777777" w:rsidR="009F25E3" w:rsidRPr="009F25E3" w:rsidRDefault="009F25E3" w:rsidP="006D3589">
            <w:pPr>
              <w:cnfStyle w:val="100000000000" w:firstRow="1" w:lastRow="0" w:firstColumn="0" w:lastColumn="0" w:oddVBand="0" w:evenVBand="0" w:oddHBand="0" w:evenHBand="0" w:firstRowFirstColumn="0" w:firstRowLastColumn="0" w:lastRowFirstColumn="0" w:lastRowLastColumn="0"/>
            </w:pPr>
            <w:r w:rsidRPr="009F25E3">
              <w:t>Duration</w:t>
            </w:r>
          </w:p>
        </w:tc>
      </w:tr>
      <w:tr w:rsidR="009F25E3" w:rsidRPr="009F25E3" w14:paraId="567470A4" w14:textId="77777777" w:rsidTr="009F2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25C26F4" w14:textId="77777777" w:rsidR="009F25E3" w:rsidRPr="009F25E3" w:rsidRDefault="009F25E3" w:rsidP="006D3589">
            <w:r w:rsidRPr="009F25E3">
              <w:t>Core Training</w:t>
            </w:r>
          </w:p>
        </w:tc>
        <w:tc>
          <w:tcPr>
            <w:tcW w:w="2254" w:type="dxa"/>
          </w:tcPr>
          <w:p w14:paraId="044F4B24" w14:textId="77777777" w:rsidR="009F25E3" w:rsidRPr="009F25E3" w:rsidRDefault="009F25E3" w:rsidP="006D3589">
            <w:pPr>
              <w:cnfStyle w:val="000000100000" w:firstRow="0" w:lastRow="0" w:firstColumn="0" w:lastColumn="0" w:oddVBand="0" w:evenVBand="0" w:oddHBand="1" w:evenHBand="0" w:firstRowFirstColumn="0" w:firstRowLastColumn="0" w:lastRowFirstColumn="0" w:lastRowLastColumn="0"/>
            </w:pPr>
            <w:r w:rsidRPr="009F25E3">
              <w:t>Quarterly</w:t>
            </w:r>
          </w:p>
        </w:tc>
        <w:tc>
          <w:tcPr>
            <w:tcW w:w="2254" w:type="dxa"/>
          </w:tcPr>
          <w:p w14:paraId="71025827" w14:textId="77777777" w:rsidR="009F25E3" w:rsidRPr="009F25E3" w:rsidRDefault="009F25E3" w:rsidP="006D3589">
            <w:pPr>
              <w:cnfStyle w:val="000000100000" w:firstRow="0" w:lastRow="0" w:firstColumn="0" w:lastColumn="0" w:oddVBand="0" w:evenVBand="0" w:oddHBand="1" w:evenHBand="0" w:firstRowFirstColumn="0" w:firstRowLastColumn="0" w:lastRowFirstColumn="0" w:lastRowLastColumn="0"/>
            </w:pPr>
            <w:r w:rsidRPr="009F25E3">
              <w:t>In-person or virtual</w:t>
            </w:r>
          </w:p>
        </w:tc>
        <w:tc>
          <w:tcPr>
            <w:tcW w:w="2254" w:type="dxa"/>
          </w:tcPr>
          <w:p w14:paraId="01FCB33A" w14:textId="77777777" w:rsidR="009F25E3" w:rsidRPr="009F25E3" w:rsidRDefault="009F25E3" w:rsidP="006D3589">
            <w:pPr>
              <w:cnfStyle w:val="000000100000" w:firstRow="0" w:lastRow="0" w:firstColumn="0" w:lastColumn="0" w:oddVBand="0" w:evenVBand="0" w:oddHBand="1" w:evenHBand="0" w:firstRowFirstColumn="0" w:firstRowLastColumn="0" w:lastRowFirstColumn="0" w:lastRowLastColumn="0"/>
            </w:pPr>
            <w:r w:rsidRPr="009F25E3">
              <w:t>1 hour</w:t>
            </w:r>
          </w:p>
        </w:tc>
      </w:tr>
      <w:tr w:rsidR="009F25E3" w:rsidRPr="009F25E3" w14:paraId="3AF7295F" w14:textId="77777777" w:rsidTr="009F25E3">
        <w:tc>
          <w:tcPr>
            <w:cnfStyle w:val="001000000000" w:firstRow="0" w:lastRow="0" w:firstColumn="1" w:lastColumn="0" w:oddVBand="0" w:evenVBand="0" w:oddHBand="0" w:evenHBand="0" w:firstRowFirstColumn="0" w:firstRowLastColumn="0" w:lastRowFirstColumn="0" w:lastRowLastColumn="0"/>
            <w:tcW w:w="2254" w:type="dxa"/>
          </w:tcPr>
          <w:p w14:paraId="4C1222BD" w14:textId="77777777" w:rsidR="009F25E3" w:rsidRPr="009F25E3" w:rsidRDefault="009F25E3" w:rsidP="006D3589">
            <w:r w:rsidRPr="009F25E3">
              <w:t>Refresher Session</w:t>
            </w:r>
          </w:p>
        </w:tc>
        <w:tc>
          <w:tcPr>
            <w:tcW w:w="2254" w:type="dxa"/>
          </w:tcPr>
          <w:p w14:paraId="6ECB915C" w14:textId="77777777" w:rsidR="009F25E3" w:rsidRPr="009F25E3" w:rsidRDefault="009F25E3" w:rsidP="006D3589">
            <w:pPr>
              <w:cnfStyle w:val="000000000000" w:firstRow="0" w:lastRow="0" w:firstColumn="0" w:lastColumn="0" w:oddVBand="0" w:evenVBand="0" w:oddHBand="0" w:evenHBand="0" w:firstRowFirstColumn="0" w:firstRowLastColumn="0" w:lastRowFirstColumn="0" w:lastRowLastColumn="0"/>
            </w:pPr>
            <w:r w:rsidRPr="009F25E3">
              <w:t>Bi-annually</w:t>
            </w:r>
          </w:p>
        </w:tc>
        <w:tc>
          <w:tcPr>
            <w:tcW w:w="2254" w:type="dxa"/>
          </w:tcPr>
          <w:p w14:paraId="12947B6C" w14:textId="77777777" w:rsidR="009F25E3" w:rsidRPr="009F25E3" w:rsidRDefault="009F25E3" w:rsidP="006D3589">
            <w:pPr>
              <w:cnfStyle w:val="000000000000" w:firstRow="0" w:lastRow="0" w:firstColumn="0" w:lastColumn="0" w:oddVBand="0" w:evenVBand="0" w:oddHBand="0" w:evenHBand="0" w:firstRowFirstColumn="0" w:firstRowLastColumn="0" w:lastRowFirstColumn="0" w:lastRowLastColumn="0"/>
            </w:pPr>
            <w:r w:rsidRPr="009F25E3">
              <w:t>Online (self-paced)</w:t>
            </w:r>
          </w:p>
        </w:tc>
        <w:tc>
          <w:tcPr>
            <w:tcW w:w="2254" w:type="dxa"/>
          </w:tcPr>
          <w:p w14:paraId="654FA198" w14:textId="77777777" w:rsidR="009F25E3" w:rsidRPr="009F25E3" w:rsidRDefault="009F25E3" w:rsidP="006D3589">
            <w:pPr>
              <w:cnfStyle w:val="000000000000" w:firstRow="0" w:lastRow="0" w:firstColumn="0" w:lastColumn="0" w:oddVBand="0" w:evenVBand="0" w:oddHBand="0" w:evenHBand="0" w:firstRowFirstColumn="0" w:firstRowLastColumn="0" w:lastRowFirstColumn="0" w:lastRowLastColumn="0"/>
            </w:pPr>
            <w:r w:rsidRPr="009F25E3">
              <w:t>30 mins</w:t>
            </w:r>
          </w:p>
        </w:tc>
      </w:tr>
      <w:tr w:rsidR="009F25E3" w:rsidRPr="009F25E3" w14:paraId="5FB943EA" w14:textId="77777777" w:rsidTr="009F2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6FB0398" w14:textId="77777777" w:rsidR="009F25E3" w:rsidRPr="009F25E3" w:rsidRDefault="009F25E3" w:rsidP="006D3589">
            <w:r w:rsidRPr="009F25E3">
              <w:t>Department-Specific Clinics</w:t>
            </w:r>
          </w:p>
        </w:tc>
        <w:tc>
          <w:tcPr>
            <w:tcW w:w="2254" w:type="dxa"/>
          </w:tcPr>
          <w:p w14:paraId="56C5AF24" w14:textId="77777777" w:rsidR="009F25E3" w:rsidRPr="009F25E3" w:rsidRDefault="009F25E3" w:rsidP="006D3589">
            <w:pPr>
              <w:cnfStyle w:val="000000100000" w:firstRow="0" w:lastRow="0" w:firstColumn="0" w:lastColumn="0" w:oddVBand="0" w:evenVBand="0" w:oddHBand="1" w:evenHBand="0" w:firstRowFirstColumn="0" w:firstRowLastColumn="0" w:lastRowFirstColumn="0" w:lastRowLastColumn="0"/>
            </w:pPr>
            <w:r w:rsidRPr="009F25E3">
              <w:t>As needed</w:t>
            </w:r>
          </w:p>
        </w:tc>
        <w:tc>
          <w:tcPr>
            <w:tcW w:w="2254" w:type="dxa"/>
          </w:tcPr>
          <w:p w14:paraId="78DCD882" w14:textId="77777777" w:rsidR="009F25E3" w:rsidRPr="009F25E3" w:rsidRDefault="009F25E3" w:rsidP="006D3589">
            <w:pPr>
              <w:cnfStyle w:val="000000100000" w:firstRow="0" w:lastRow="0" w:firstColumn="0" w:lastColumn="0" w:oddVBand="0" w:evenVBand="0" w:oddHBand="1" w:evenHBand="0" w:firstRowFirstColumn="0" w:firstRowLastColumn="0" w:lastRowFirstColumn="0" w:lastRowLastColumn="0"/>
            </w:pPr>
            <w:r w:rsidRPr="009F25E3">
              <w:t>Onsite or virtual</w:t>
            </w:r>
          </w:p>
        </w:tc>
        <w:tc>
          <w:tcPr>
            <w:tcW w:w="2254" w:type="dxa"/>
          </w:tcPr>
          <w:p w14:paraId="4B6AEAA9" w14:textId="77777777" w:rsidR="009F25E3" w:rsidRPr="009F25E3" w:rsidRDefault="009F25E3" w:rsidP="006D3589">
            <w:pPr>
              <w:cnfStyle w:val="000000100000" w:firstRow="0" w:lastRow="0" w:firstColumn="0" w:lastColumn="0" w:oddVBand="0" w:evenVBand="0" w:oddHBand="1" w:evenHBand="0" w:firstRowFirstColumn="0" w:firstRowLastColumn="0" w:lastRowFirstColumn="0" w:lastRowLastColumn="0"/>
            </w:pPr>
            <w:r w:rsidRPr="009F25E3">
              <w:t>45 mins</w:t>
            </w:r>
          </w:p>
        </w:tc>
      </w:tr>
      <w:tr w:rsidR="009F25E3" w:rsidRPr="009F25E3" w14:paraId="5F84E1BA" w14:textId="77777777" w:rsidTr="009F25E3">
        <w:tc>
          <w:tcPr>
            <w:cnfStyle w:val="001000000000" w:firstRow="0" w:lastRow="0" w:firstColumn="1" w:lastColumn="0" w:oddVBand="0" w:evenVBand="0" w:oddHBand="0" w:evenHBand="0" w:firstRowFirstColumn="0" w:firstRowLastColumn="0" w:lastRowFirstColumn="0" w:lastRowLastColumn="0"/>
            <w:tcW w:w="2254" w:type="dxa"/>
          </w:tcPr>
          <w:p w14:paraId="616F3EC6" w14:textId="77777777" w:rsidR="009F25E3" w:rsidRPr="009F25E3" w:rsidRDefault="009F25E3" w:rsidP="006D3589">
            <w:r w:rsidRPr="009F25E3">
              <w:t>New Hire Orientation</w:t>
            </w:r>
          </w:p>
        </w:tc>
        <w:tc>
          <w:tcPr>
            <w:tcW w:w="2254" w:type="dxa"/>
          </w:tcPr>
          <w:p w14:paraId="03C818CF" w14:textId="77777777" w:rsidR="009F25E3" w:rsidRPr="009F25E3" w:rsidRDefault="009F25E3" w:rsidP="006D3589">
            <w:pPr>
              <w:cnfStyle w:val="000000000000" w:firstRow="0" w:lastRow="0" w:firstColumn="0" w:lastColumn="0" w:oddVBand="0" w:evenVBand="0" w:oddHBand="0" w:evenHBand="0" w:firstRowFirstColumn="0" w:firstRowLastColumn="0" w:lastRowFirstColumn="0" w:lastRowLastColumn="0"/>
            </w:pPr>
            <w:r w:rsidRPr="009F25E3">
              <w:t>Upon joining</w:t>
            </w:r>
          </w:p>
        </w:tc>
        <w:tc>
          <w:tcPr>
            <w:tcW w:w="2254" w:type="dxa"/>
          </w:tcPr>
          <w:p w14:paraId="2E6C7FBD" w14:textId="77777777" w:rsidR="009F25E3" w:rsidRPr="009F25E3" w:rsidRDefault="009F25E3" w:rsidP="006D3589">
            <w:pPr>
              <w:cnfStyle w:val="000000000000" w:firstRow="0" w:lastRow="0" w:firstColumn="0" w:lastColumn="0" w:oddVBand="0" w:evenVBand="0" w:oddHBand="0" w:evenHBand="0" w:firstRowFirstColumn="0" w:firstRowLastColumn="0" w:lastRowFirstColumn="0" w:lastRowLastColumn="0"/>
            </w:pPr>
            <w:r w:rsidRPr="009F25E3">
              <w:t>Classroom/Online</w:t>
            </w:r>
          </w:p>
        </w:tc>
        <w:tc>
          <w:tcPr>
            <w:tcW w:w="2254" w:type="dxa"/>
          </w:tcPr>
          <w:p w14:paraId="136D3487" w14:textId="77777777" w:rsidR="009F25E3" w:rsidRPr="009F25E3" w:rsidRDefault="009F25E3" w:rsidP="006D3589">
            <w:pPr>
              <w:cnfStyle w:val="000000000000" w:firstRow="0" w:lastRow="0" w:firstColumn="0" w:lastColumn="0" w:oddVBand="0" w:evenVBand="0" w:oddHBand="0" w:evenHBand="0" w:firstRowFirstColumn="0" w:firstRowLastColumn="0" w:lastRowFirstColumn="0" w:lastRowLastColumn="0"/>
            </w:pPr>
            <w:r w:rsidRPr="009F25E3">
              <w:t>1 hour</w:t>
            </w:r>
          </w:p>
        </w:tc>
      </w:tr>
    </w:tbl>
    <w:p w14:paraId="3E0AC610" w14:textId="77777777" w:rsidR="009F25E3" w:rsidRDefault="009F25E3" w:rsidP="009F25E3"/>
    <w:p w14:paraId="3E5D372B" w14:textId="77777777" w:rsidR="009F25E3" w:rsidRDefault="009F25E3" w:rsidP="009F25E3">
      <w:pPr>
        <w:pStyle w:val="Heading2"/>
      </w:pPr>
      <w:r>
        <w:t>4. Key Learning Modules</w:t>
      </w:r>
    </w:p>
    <w:p w14:paraId="191A40EB" w14:textId="77777777" w:rsidR="009F25E3" w:rsidRDefault="009F25E3" w:rsidP="009F25E3">
      <w:pPr>
        <w:pStyle w:val="Heading3"/>
      </w:pPr>
      <w:r>
        <w:t>Module 1: Approved Tools and Platforms</w:t>
      </w:r>
    </w:p>
    <w:p w14:paraId="712A619C" w14:textId="38116E1A" w:rsidR="009F25E3" w:rsidRDefault="009F25E3" w:rsidP="009F25E3">
      <w:pPr>
        <w:pStyle w:val="ListParagraph"/>
        <w:numPr>
          <w:ilvl w:val="0"/>
          <w:numId w:val="9"/>
        </w:numPr>
      </w:pPr>
      <w:r>
        <w:t>Definition of "approved tools" in the organization</w:t>
      </w:r>
    </w:p>
    <w:p w14:paraId="60630DE0" w14:textId="21961508" w:rsidR="009F25E3" w:rsidRDefault="009F25E3" w:rsidP="009F25E3">
      <w:pPr>
        <w:pStyle w:val="ListParagraph"/>
        <w:numPr>
          <w:ilvl w:val="0"/>
          <w:numId w:val="9"/>
        </w:numPr>
      </w:pPr>
      <w:r>
        <w:t>Tool lifecycle: from procurement to decommissioning</w:t>
      </w:r>
    </w:p>
    <w:p w14:paraId="647F291F" w14:textId="0FB9A9C0" w:rsidR="009F25E3" w:rsidRDefault="009F25E3" w:rsidP="009F25E3">
      <w:pPr>
        <w:pStyle w:val="ListParagraph"/>
        <w:numPr>
          <w:ilvl w:val="0"/>
          <w:numId w:val="9"/>
        </w:numPr>
      </w:pPr>
      <w:r>
        <w:t>Examples of sanctioned communication, storage, and productivity tools</w:t>
      </w:r>
    </w:p>
    <w:p w14:paraId="6CE2E2C4" w14:textId="60B1D71B" w:rsidR="009F25E3" w:rsidRDefault="009F25E3" w:rsidP="009F25E3">
      <w:pPr>
        <w:pStyle w:val="ListParagraph"/>
        <w:numPr>
          <w:ilvl w:val="0"/>
          <w:numId w:val="9"/>
        </w:numPr>
      </w:pPr>
      <w:r>
        <w:t>How to request access to tools or suggest new ones</w:t>
      </w:r>
    </w:p>
    <w:p w14:paraId="1E2C9CA1" w14:textId="42328420" w:rsidR="009F25E3" w:rsidRDefault="009F25E3" w:rsidP="009F25E3">
      <w:r w:rsidRPr="009F25E3">
        <w:rPr>
          <w:b/>
          <w:bCs/>
        </w:rPr>
        <w:t>Outcome</w:t>
      </w:r>
      <w:r>
        <w:t>: Employees understand what tools are authorized and why tool compliance matters.</w:t>
      </w:r>
    </w:p>
    <w:p w14:paraId="5E6BACB4" w14:textId="77777777" w:rsidR="009F25E3" w:rsidRDefault="009F25E3" w:rsidP="009F25E3">
      <w:pPr>
        <w:pStyle w:val="Heading3"/>
      </w:pPr>
      <w:r>
        <w:t>Module 2: Acceptable Use Policy (AUP)</w:t>
      </w:r>
    </w:p>
    <w:p w14:paraId="563D1DEA" w14:textId="30818C2E" w:rsidR="009F25E3" w:rsidRDefault="009F25E3" w:rsidP="009F25E3">
      <w:pPr>
        <w:pStyle w:val="ListParagraph"/>
        <w:numPr>
          <w:ilvl w:val="0"/>
          <w:numId w:val="10"/>
        </w:numPr>
      </w:pPr>
      <w:r>
        <w:t>Overview of organizational AUP</w:t>
      </w:r>
    </w:p>
    <w:p w14:paraId="128A7CEB" w14:textId="74EB8352" w:rsidR="009F25E3" w:rsidRDefault="009F25E3" w:rsidP="009F25E3">
      <w:pPr>
        <w:pStyle w:val="ListParagraph"/>
        <w:numPr>
          <w:ilvl w:val="0"/>
          <w:numId w:val="10"/>
        </w:numPr>
      </w:pPr>
      <w:r>
        <w:t>Dos and Don’ts when accessing corporate systems, emails, and internet resources</w:t>
      </w:r>
    </w:p>
    <w:p w14:paraId="682010F0" w14:textId="0A19CCFD" w:rsidR="009F25E3" w:rsidRDefault="009F25E3" w:rsidP="009F25E3">
      <w:pPr>
        <w:pStyle w:val="ListParagraph"/>
        <w:numPr>
          <w:ilvl w:val="0"/>
          <w:numId w:val="10"/>
        </w:numPr>
      </w:pPr>
      <w:r>
        <w:t>Use of personal devices and remote access guidelines (BYOD policy)</w:t>
      </w:r>
    </w:p>
    <w:p w14:paraId="195069C2" w14:textId="1AD9C47A" w:rsidR="009F25E3" w:rsidRDefault="009F25E3" w:rsidP="009F25E3">
      <w:pPr>
        <w:pStyle w:val="ListParagraph"/>
        <w:numPr>
          <w:ilvl w:val="0"/>
          <w:numId w:val="10"/>
        </w:numPr>
      </w:pPr>
      <w:r>
        <w:t>Real-world case studies on AUP violations and consequences</w:t>
      </w:r>
    </w:p>
    <w:p w14:paraId="440F241C" w14:textId="2C6A9871" w:rsidR="009F25E3" w:rsidRDefault="009F25E3" w:rsidP="009F25E3">
      <w:r w:rsidRPr="009F25E3">
        <w:rPr>
          <w:b/>
          <w:bCs/>
        </w:rPr>
        <w:t>Outcome</w:t>
      </w:r>
      <w:r>
        <w:t xml:space="preserve">: Employees become fully aware of </w:t>
      </w:r>
      <w:r>
        <w:t>behaviour</w:t>
      </w:r>
      <w:r>
        <w:t xml:space="preserve"> expected when using IT resources.</w:t>
      </w:r>
    </w:p>
    <w:p w14:paraId="13E9293B" w14:textId="77777777" w:rsidR="009F25E3" w:rsidRDefault="009F25E3" w:rsidP="009F25E3">
      <w:pPr>
        <w:pStyle w:val="Heading3"/>
      </w:pPr>
      <w:r>
        <w:lastRenderedPageBreak/>
        <w:t>Module 3: Shadow IT – Risks and Impact</w:t>
      </w:r>
    </w:p>
    <w:p w14:paraId="0192C6C9" w14:textId="7E714996" w:rsidR="009F25E3" w:rsidRDefault="009F25E3" w:rsidP="009F25E3">
      <w:pPr>
        <w:pStyle w:val="ListParagraph"/>
        <w:numPr>
          <w:ilvl w:val="0"/>
          <w:numId w:val="11"/>
        </w:numPr>
      </w:pPr>
      <w:r>
        <w:t>What is shadow IT, and why do employees turn to it?</w:t>
      </w:r>
    </w:p>
    <w:p w14:paraId="26B02089" w14:textId="5B210CF5" w:rsidR="009F25E3" w:rsidRDefault="009F25E3" w:rsidP="009F25E3">
      <w:pPr>
        <w:pStyle w:val="ListParagraph"/>
        <w:numPr>
          <w:ilvl w:val="0"/>
          <w:numId w:val="11"/>
        </w:numPr>
      </w:pPr>
      <w:r>
        <w:t>Data leakage, compliance breaches, and security gaps caused by unauthorized apps</w:t>
      </w:r>
    </w:p>
    <w:p w14:paraId="31DB979F" w14:textId="1DFAEA73" w:rsidR="009F25E3" w:rsidRDefault="009F25E3" w:rsidP="009F25E3">
      <w:pPr>
        <w:pStyle w:val="ListParagraph"/>
        <w:numPr>
          <w:ilvl w:val="0"/>
          <w:numId w:val="11"/>
        </w:numPr>
      </w:pPr>
      <w:r>
        <w:t>How shadow IT can compromise system integrity and incident response</w:t>
      </w:r>
    </w:p>
    <w:p w14:paraId="554016AB" w14:textId="3E00F048" w:rsidR="009F25E3" w:rsidRDefault="009F25E3" w:rsidP="009F25E3">
      <w:pPr>
        <w:pStyle w:val="ListParagraph"/>
        <w:numPr>
          <w:ilvl w:val="0"/>
          <w:numId w:val="11"/>
        </w:numPr>
      </w:pPr>
      <w:r>
        <w:t>Encouraging transparent communication when needs are unmet by current tools</w:t>
      </w:r>
    </w:p>
    <w:p w14:paraId="5A9C486A" w14:textId="21AF3D27" w:rsidR="009F25E3" w:rsidRDefault="009F25E3" w:rsidP="009F25E3">
      <w:r w:rsidRPr="009F25E3">
        <w:rPr>
          <w:b/>
          <w:bCs/>
        </w:rPr>
        <w:t>Outcome</w:t>
      </w:r>
      <w:r>
        <w:t>: Participants recognize the hidden dangers of unapproved tech and feel empowered to act responsibly.</w:t>
      </w:r>
    </w:p>
    <w:p w14:paraId="3892E698" w14:textId="77777777" w:rsidR="009F25E3" w:rsidRDefault="009F25E3" w:rsidP="009F25E3">
      <w:pPr>
        <w:pStyle w:val="Heading3"/>
      </w:pPr>
      <w:r>
        <w:t>5. Training Delivery Methods</w:t>
      </w:r>
    </w:p>
    <w:p w14:paraId="3B66F479" w14:textId="6B430D98" w:rsidR="009F25E3" w:rsidRDefault="009F25E3" w:rsidP="009F25E3">
      <w:pPr>
        <w:pStyle w:val="ListParagraph"/>
        <w:numPr>
          <w:ilvl w:val="0"/>
          <w:numId w:val="12"/>
        </w:numPr>
      </w:pPr>
      <w:r w:rsidRPr="008874F9">
        <w:rPr>
          <w:b/>
          <w:bCs/>
        </w:rPr>
        <w:t>Live Workshops</w:t>
      </w:r>
      <w:r>
        <w:t xml:space="preserve"> </w:t>
      </w:r>
      <w:r>
        <w:t>-</w:t>
      </w:r>
      <w:r>
        <w:t xml:space="preserve"> Led by IT and compliance teams with Q&amp;A</w:t>
      </w:r>
    </w:p>
    <w:p w14:paraId="409CA74C" w14:textId="48CC05E2" w:rsidR="009F25E3" w:rsidRDefault="009F25E3" w:rsidP="009F25E3">
      <w:pPr>
        <w:pStyle w:val="ListParagraph"/>
        <w:numPr>
          <w:ilvl w:val="0"/>
          <w:numId w:val="12"/>
        </w:numPr>
      </w:pPr>
      <w:r w:rsidRPr="008874F9">
        <w:rPr>
          <w:b/>
          <w:bCs/>
        </w:rPr>
        <w:t>Interactive eLearning Modules</w:t>
      </w:r>
      <w:r>
        <w:t xml:space="preserve"> </w:t>
      </w:r>
      <w:r>
        <w:t xml:space="preserve">- </w:t>
      </w:r>
      <w:r>
        <w:t>With real-life scenarios and gamified quizzes</w:t>
      </w:r>
    </w:p>
    <w:p w14:paraId="09B13985" w14:textId="0C84E204" w:rsidR="009F25E3" w:rsidRDefault="009F25E3" w:rsidP="009F25E3">
      <w:pPr>
        <w:pStyle w:val="ListParagraph"/>
        <w:numPr>
          <w:ilvl w:val="0"/>
          <w:numId w:val="12"/>
        </w:numPr>
      </w:pPr>
      <w:r w:rsidRPr="008874F9">
        <w:rPr>
          <w:b/>
          <w:bCs/>
        </w:rPr>
        <w:t>Infographics and Job Aids</w:t>
      </w:r>
      <w:r>
        <w:t xml:space="preserve"> </w:t>
      </w:r>
      <w:r>
        <w:t xml:space="preserve">- </w:t>
      </w:r>
      <w:r>
        <w:t>Placed on internal communication boards</w:t>
      </w:r>
    </w:p>
    <w:p w14:paraId="46EA49A5" w14:textId="2840FB9A" w:rsidR="009F25E3" w:rsidRDefault="009F25E3" w:rsidP="009F25E3">
      <w:pPr>
        <w:pStyle w:val="ListParagraph"/>
        <w:numPr>
          <w:ilvl w:val="0"/>
          <w:numId w:val="12"/>
        </w:numPr>
      </w:pPr>
      <w:r w:rsidRPr="008874F9">
        <w:rPr>
          <w:b/>
          <w:bCs/>
        </w:rPr>
        <w:t>Short Videos (2</w:t>
      </w:r>
      <w:r w:rsidRPr="008874F9">
        <w:rPr>
          <w:b/>
          <w:bCs/>
        </w:rPr>
        <w:t>-</w:t>
      </w:r>
      <w:r w:rsidRPr="008874F9">
        <w:rPr>
          <w:b/>
          <w:bCs/>
        </w:rPr>
        <w:t>3 minutes)</w:t>
      </w:r>
      <w:r>
        <w:t xml:space="preserve"> </w:t>
      </w:r>
      <w:r>
        <w:t xml:space="preserve">- </w:t>
      </w:r>
      <w:r>
        <w:t>Covering tool-specific guidance</w:t>
      </w:r>
    </w:p>
    <w:p w14:paraId="2518114A" w14:textId="19EEAF81" w:rsidR="009F25E3" w:rsidRDefault="009F25E3" w:rsidP="009F25E3">
      <w:pPr>
        <w:pStyle w:val="ListParagraph"/>
        <w:numPr>
          <w:ilvl w:val="0"/>
          <w:numId w:val="12"/>
        </w:numPr>
      </w:pPr>
      <w:r w:rsidRPr="008874F9">
        <w:rPr>
          <w:b/>
          <w:bCs/>
        </w:rPr>
        <w:t>Feedback Forms</w:t>
      </w:r>
      <w:r>
        <w:t xml:space="preserve"> </w:t>
      </w:r>
      <w:r>
        <w:t xml:space="preserve">- </w:t>
      </w:r>
      <w:r>
        <w:t>Post-training evaluations to adjust future sessions</w:t>
      </w:r>
    </w:p>
    <w:p w14:paraId="275C0F43" w14:textId="77777777" w:rsidR="009F25E3" w:rsidRDefault="009F25E3" w:rsidP="009F25E3"/>
    <w:p w14:paraId="11C24CD8" w14:textId="77777777" w:rsidR="009F25E3" w:rsidRDefault="009F25E3" w:rsidP="00F44FD4">
      <w:pPr>
        <w:pStyle w:val="Heading3"/>
      </w:pPr>
      <w:r>
        <w:t>6. Evaluation and Metrics</w:t>
      </w:r>
    </w:p>
    <w:tbl>
      <w:tblPr>
        <w:tblStyle w:val="GridTable4-Accent6"/>
        <w:tblW w:w="0" w:type="auto"/>
        <w:tblLook w:val="04A0" w:firstRow="1" w:lastRow="0" w:firstColumn="1" w:lastColumn="0" w:noHBand="0" w:noVBand="1"/>
      </w:tblPr>
      <w:tblGrid>
        <w:gridCol w:w="4508"/>
        <w:gridCol w:w="4508"/>
      </w:tblGrid>
      <w:tr w:rsidR="00F44FD4" w:rsidRPr="00F44FD4" w14:paraId="42AC7801" w14:textId="77777777" w:rsidTr="00F44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9C9D2F" w14:textId="77777777" w:rsidR="00F44FD4" w:rsidRPr="00F44FD4" w:rsidRDefault="00F44FD4" w:rsidP="00BA248B">
            <w:r w:rsidRPr="00F44FD4">
              <w:t>Metric</w:t>
            </w:r>
          </w:p>
        </w:tc>
        <w:tc>
          <w:tcPr>
            <w:tcW w:w="4508" w:type="dxa"/>
          </w:tcPr>
          <w:p w14:paraId="1D46DD82" w14:textId="77777777" w:rsidR="00F44FD4" w:rsidRPr="00F44FD4" w:rsidRDefault="00F44FD4" w:rsidP="00BA248B">
            <w:pPr>
              <w:cnfStyle w:val="100000000000" w:firstRow="1" w:lastRow="0" w:firstColumn="0" w:lastColumn="0" w:oddVBand="0" w:evenVBand="0" w:oddHBand="0" w:evenHBand="0" w:firstRowFirstColumn="0" w:firstRowLastColumn="0" w:lastRowFirstColumn="0" w:lastRowLastColumn="0"/>
            </w:pPr>
            <w:r w:rsidRPr="00F44FD4">
              <w:t>Measurement Method</w:t>
            </w:r>
          </w:p>
        </w:tc>
      </w:tr>
      <w:tr w:rsidR="00F44FD4" w:rsidRPr="00F44FD4" w14:paraId="079D7301" w14:textId="77777777" w:rsidTr="00F4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84858B" w14:textId="77777777" w:rsidR="00F44FD4" w:rsidRPr="00F44FD4" w:rsidRDefault="00F44FD4" w:rsidP="00BA248B">
            <w:r w:rsidRPr="00F44FD4">
              <w:t>Training Completion Rate</w:t>
            </w:r>
          </w:p>
        </w:tc>
        <w:tc>
          <w:tcPr>
            <w:tcW w:w="4508" w:type="dxa"/>
          </w:tcPr>
          <w:p w14:paraId="100414C5" w14:textId="77777777" w:rsidR="00F44FD4" w:rsidRPr="00F44FD4" w:rsidRDefault="00F44FD4" w:rsidP="00BA248B">
            <w:pPr>
              <w:cnfStyle w:val="000000100000" w:firstRow="0" w:lastRow="0" w:firstColumn="0" w:lastColumn="0" w:oddVBand="0" w:evenVBand="0" w:oddHBand="1" w:evenHBand="0" w:firstRowFirstColumn="0" w:firstRowLastColumn="0" w:lastRowFirstColumn="0" w:lastRowLastColumn="0"/>
            </w:pPr>
            <w:r w:rsidRPr="00F44FD4">
              <w:t>LMS tracking and attendance</w:t>
            </w:r>
          </w:p>
        </w:tc>
      </w:tr>
      <w:tr w:rsidR="00F44FD4" w:rsidRPr="00F44FD4" w14:paraId="601049A5" w14:textId="77777777" w:rsidTr="00F44FD4">
        <w:tc>
          <w:tcPr>
            <w:cnfStyle w:val="001000000000" w:firstRow="0" w:lastRow="0" w:firstColumn="1" w:lastColumn="0" w:oddVBand="0" w:evenVBand="0" w:oddHBand="0" w:evenHBand="0" w:firstRowFirstColumn="0" w:firstRowLastColumn="0" w:lastRowFirstColumn="0" w:lastRowLastColumn="0"/>
            <w:tcW w:w="4508" w:type="dxa"/>
          </w:tcPr>
          <w:p w14:paraId="3E51B1FF" w14:textId="77777777" w:rsidR="00F44FD4" w:rsidRPr="00F44FD4" w:rsidRDefault="00F44FD4" w:rsidP="00BA248B">
            <w:r w:rsidRPr="00F44FD4">
              <w:t>Policy Acknowledgement Rate</w:t>
            </w:r>
          </w:p>
        </w:tc>
        <w:tc>
          <w:tcPr>
            <w:tcW w:w="4508" w:type="dxa"/>
          </w:tcPr>
          <w:p w14:paraId="5F266C29" w14:textId="77777777" w:rsidR="00F44FD4" w:rsidRPr="00F44FD4" w:rsidRDefault="00F44FD4" w:rsidP="00BA248B">
            <w:pPr>
              <w:cnfStyle w:val="000000000000" w:firstRow="0" w:lastRow="0" w:firstColumn="0" w:lastColumn="0" w:oddVBand="0" w:evenVBand="0" w:oddHBand="0" w:evenHBand="0" w:firstRowFirstColumn="0" w:firstRowLastColumn="0" w:lastRowFirstColumn="0" w:lastRowLastColumn="0"/>
            </w:pPr>
            <w:r w:rsidRPr="00F44FD4">
              <w:t>Signed AUP forms</w:t>
            </w:r>
          </w:p>
        </w:tc>
      </w:tr>
      <w:tr w:rsidR="00F44FD4" w:rsidRPr="00F44FD4" w14:paraId="2DA799A0" w14:textId="77777777" w:rsidTr="00F4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E6163B" w14:textId="77777777" w:rsidR="00F44FD4" w:rsidRPr="00F44FD4" w:rsidRDefault="00F44FD4" w:rsidP="00BA248B">
            <w:r w:rsidRPr="00F44FD4">
              <w:t>Incidents Related to Shadow IT</w:t>
            </w:r>
          </w:p>
        </w:tc>
        <w:tc>
          <w:tcPr>
            <w:tcW w:w="4508" w:type="dxa"/>
          </w:tcPr>
          <w:p w14:paraId="74EFC6B9" w14:textId="77777777" w:rsidR="00F44FD4" w:rsidRPr="00F44FD4" w:rsidRDefault="00F44FD4" w:rsidP="00BA248B">
            <w:pPr>
              <w:cnfStyle w:val="000000100000" w:firstRow="0" w:lastRow="0" w:firstColumn="0" w:lastColumn="0" w:oddVBand="0" w:evenVBand="0" w:oddHBand="1" w:evenHBand="0" w:firstRowFirstColumn="0" w:firstRowLastColumn="0" w:lastRowFirstColumn="0" w:lastRowLastColumn="0"/>
            </w:pPr>
            <w:r w:rsidRPr="00F44FD4">
              <w:t>IT helpdesk and audit logs</w:t>
            </w:r>
          </w:p>
        </w:tc>
      </w:tr>
      <w:tr w:rsidR="00F44FD4" w:rsidRPr="00F44FD4" w14:paraId="2C354D3C" w14:textId="77777777" w:rsidTr="00F44FD4">
        <w:tc>
          <w:tcPr>
            <w:cnfStyle w:val="001000000000" w:firstRow="0" w:lastRow="0" w:firstColumn="1" w:lastColumn="0" w:oddVBand="0" w:evenVBand="0" w:oddHBand="0" w:evenHBand="0" w:firstRowFirstColumn="0" w:firstRowLastColumn="0" w:lastRowFirstColumn="0" w:lastRowLastColumn="0"/>
            <w:tcW w:w="4508" w:type="dxa"/>
          </w:tcPr>
          <w:p w14:paraId="11BD50B1" w14:textId="77777777" w:rsidR="00F44FD4" w:rsidRPr="00F44FD4" w:rsidRDefault="00F44FD4" w:rsidP="00BA248B">
            <w:r w:rsidRPr="00F44FD4">
              <w:t>Requests for New Tool Evaluation</w:t>
            </w:r>
          </w:p>
        </w:tc>
        <w:tc>
          <w:tcPr>
            <w:tcW w:w="4508" w:type="dxa"/>
          </w:tcPr>
          <w:p w14:paraId="26CD474E" w14:textId="77777777" w:rsidR="00F44FD4" w:rsidRPr="00F44FD4" w:rsidRDefault="00F44FD4" w:rsidP="00BA248B">
            <w:pPr>
              <w:cnfStyle w:val="000000000000" w:firstRow="0" w:lastRow="0" w:firstColumn="0" w:lastColumn="0" w:oddVBand="0" w:evenVBand="0" w:oddHBand="0" w:evenHBand="0" w:firstRowFirstColumn="0" w:firstRowLastColumn="0" w:lastRowFirstColumn="0" w:lastRowLastColumn="0"/>
            </w:pPr>
            <w:r w:rsidRPr="00F44FD4">
              <w:t>Monthly IT governance reports</w:t>
            </w:r>
          </w:p>
        </w:tc>
      </w:tr>
      <w:tr w:rsidR="00F44FD4" w:rsidRPr="00F44FD4" w14:paraId="5040D7FC" w14:textId="77777777" w:rsidTr="00F4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E0BEBB" w14:textId="77777777" w:rsidR="00F44FD4" w:rsidRPr="00F44FD4" w:rsidRDefault="00F44FD4" w:rsidP="00BA248B">
            <w:r w:rsidRPr="00F44FD4">
              <w:t>Post-Training Knowledge Retention</w:t>
            </w:r>
          </w:p>
        </w:tc>
        <w:tc>
          <w:tcPr>
            <w:tcW w:w="4508" w:type="dxa"/>
          </w:tcPr>
          <w:p w14:paraId="3001CDCC" w14:textId="77777777" w:rsidR="00F44FD4" w:rsidRPr="00F44FD4" w:rsidRDefault="00F44FD4" w:rsidP="00BA248B">
            <w:pPr>
              <w:cnfStyle w:val="000000100000" w:firstRow="0" w:lastRow="0" w:firstColumn="0" w:lastColumn="0" w:oddVBand="0" w:evenVBand="0" w:oddHBand="1" w:evenHBand="0" w:firstRowFirstColumn="0" w:firstRowLastColumn="0" w:lastRowFirstColumn="0" w:lastRowLastColumn="0"/>
            </w:pPr>
            <w:r w:rsidRPr="00F44FD4">
              <w:t>Quizzes and follow-up surveys</w:t>
            </w:r>
          </w:p>
        </w:tc>
      </w:tr>
    </w:tbl>
    <w:p w14:paraId="46554EDE" w14:textId="77777777" w:rsidR="009F25E3" w:rsidRDefault="009F25E3" w:rsidP="009F25E3"/>
    <w:p w14:paraId="51BF6820" w14:textId="77777777" w:rsidR="009F25E3" w:rsidRDefault="009F25E3" w:rsidP="00F44FD4">
      <w:pPr>
        <w:pStyle w:val="Heading2"/>
      </w:pPr>
      <w:r>
        <w:t>7. Roles and Responsibilities</w:t>
      </w:r>
    </w:p>
    <w:p w14:paraId="25080C10" w14:textId="4F5C7C93" w:rsidR="009F25E3" w:rsidRDefault="009F25E3" w:rsidP="00F44FD4">
      <w:pPr>
        <w:pStyle w:val="ListParagraph"/>
        <w:numPr>
          <w:ilvl w:val="0"/>
          <w:numId w:val="13"/>
        </w:numPr>
      </w:pPr>
      <w:r w:rsidRPr="00F44FD4">
        <w:rPr>
          <w:b/>
          <w:bCs/>
        </w:rPr>
        <w:t>IT Department</w:t>
      </w:r>
      <w:r>
        <w:t xml:space="preserve"> </w:t>
      </w:r>
      <w:r w:rsidR="00F44FD4">
        <w:t>-</w:t>
      </w:r>
      <w:r>
        <w:t xml:space="preserve"> Develop technical content, approve training material</w:t>
      </w:r>
    </w:p>
    <w:p w14:paraId="25F5E3DE" w14:textId="3FEF4E15" w:rsidR="009F25E3" w:rsidRDefault="009F25E3" w:rsidP="00F44FD4">
      <w:pPr>
        <w:pStyle w:val="ListParagraph"/>
        <w:numPr>
          <w:ilvl w:val="0"/>
          <w:numId w:val="13"/>
        </w:numPr>
      </w:pPr>
      <w:r w:rsidRPr="00F44FD4">
        <w:rPr>
          <w:b/>
          <w:bCs/>
        </w:rPr>
        <w:t>Compliance/HR</w:t>
      </w:r>
      <w:r>
        <w:t xml:space="preserve"> </w:t>
      </w:r>
      <w:r w:rsidR="00F44FD4">
        <w:t>-</w:t>
      </w:r>
      <w:r>
        <w:t xml:space="preserve"> Ensure policy alignment and recordkeeping</w:t>
      </w:r>
    </w:p>
    <w:p w14:paraId="6533792A" w14:textId="02429A87" w:rsidR="009F25E3" w:rsidRDefault="009F25E3" w:rsidP="00F44FD4">
      <w:pPr>
        <w:pStyle w:val="ListParagraph"/>
        <w:numPr>
          <w:ilvl w:val="0"/>
          <w:numId w:val="13"/>
        </w:numPr>
      </w:pPr>
      <w:r w:rsidRPr="00F44FD4">
        <w:rPr>
          <w:b/>
          <w:bCs/>
        </w:rPr>
        <w:t>Line Managers</w:t>
      </w:r>
      <w:r>
        <w:t xml:space="preserve"> </w:t>
      </w:r>
      <w:r w:rsidR="00F44FD4">
        <w:t>-</w:t>
      </w:r>
      <w:r>
        <w:t xml:space="preserve"> Reinforce lessons within teams, monitor adherence</w:t>
      </w:r>
    </w:p>
    <w:p w14:paraId="05FCDA5A" w14:textId="30B5E803" w:rsidR="009F25E3" w:rsidRDefault="009F25E3" w:rsidP="00F44FD4">
      <w:pPr>
        <w:pStyle w:val="ListParagraph"/>
        <w:numPr>
          <w:ilvl w:val="0"/>
          <w:numId w:val="13"/>
        </w:numPr>
      </w:pPr>
      <w:r w:rsidRPr="00F44FD4">
        <w:rPr>
          <w:b/>
          <w:bCs/>
        </w:rPr>
        <w:t xml:space="preserve">Employees </w:t>
      </w:r>
      <w:r w:rsidR="00F44FD4">
        <w:t>-</w:t>
      </w:r>
      <w:r>
        <w:t xml:space="preserve"> Engage in training and report suspected shadow IT</w:t>
      </w:r>
    </w:p>
    <w:p w14:paraId="50516266" w14:textId="77777777" w:rsidR="009F25E3" w:rsidRDefault="009F25E3" w:rsidP="009F25E3"/>
    <w:p w14:paraId="5D38BA43" w14:textId="77777777" w:rsidR="009F25E3" w:rsidRDefault="009F25E3" w:rsidP="00F44FD4">
      <w:pPr>
        <w:pStyle w:val="Heading2"/>
      </w:pPr>
      <w:r>
        <w:t>8. Continuous Improvement Plan</w:t>
      </w:r>
    </w:p>
    <w:p w14:paraId="31469251" w14:textId="24C2F4BB" w:rsidR="009F25E3" w:rsidRDefault="009F25E3" w:rsidP="00F44FD4">
      <w:pPr>
        <w:pStyle w:val="ListParagraph"/>
        <w:numPr>
          <w:ilvl w:val="0"/>
          <w:numId w:val="14"/>
        </w:numPr>
      </w:pPr>
      <w:r>
        <w:t>Conduct annual training content reviews to reflect tool updates and emerging risks</w:t>
      </w:r>
    </w:p>
    <w:p w14:paraId="5CB87DBE" w14:textId="66335E75" w:rsidR="009F25E3" w:rsidRDefault="009F25E3" w:rsidP="00F44FD4">
      <w:pPr>
        <w:pStyle w:val="ListParagraph"/>
        <w:numPr>
          <w:ilvl w:val="0"/>
          <w:numId w:val="14"/>
        </w:numPr>
      </w:pPr>
      <w:r>
        <w:t>Use anonymized incident data to refine training modules</w:t>
      </w:r>
    </w:p>
    <w:p w14:paraId="60715418" w14:textId="5BBB9501" w:rsidR="009F25E3" w:rsidRDefault="009F25E3" w:rsidP="00F44FD4">
      <w:pPr>
        <w:pStyle w:val="ListParagraph"/>
        <w:numPr>
          <w:ilvl w:val="0"/>
          <w:numId w:val="14"/>
        </w:numPr>
      </w:pPr>
      <w:r>
        <w:t>Collect ongoing employee feedback to ensure relevance and engagement</w:t>
      </w:r>
    </w:p>
    <w:p w14:paraId="71ACF932" w14:textId="76B3F535" w:rsidR="00953791" w:rsidRDefault="009F25E3" w:rsidP="00F44FD4">
      <w:pPr>
        <w:pStyle w:val="ListParagraph"/>
        <w:numPr>
          <w:ilvl w:val="0"/>
          <w:numId w:val="14"/>
        </w:numPr>
      </w:pPr>
      <w:r>
        <w:t>Include shadow IT discussions in monthly security newsletters</w:t>
      </w:r>
    </w:p>
    <w:sectPr w:rsidR="00953791" w:rsidSect="00F44FD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EDE"/>
    <w:multiLevelType w:val="multilevel"/>
    <w:tmpl w:val="F08A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C6EE0"/>
    <w:multiLevelType w:val="hybridMultilevel"/>
    <w:tmpl w:val="9634C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EA6B80"/>
    <w:multiLevelType w:val="multilevel"/>
    <w:tmpl w:val="B9E0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B3628"/>
    <w:multiLevelType w:val="hybridMultilevel"/>
    <w:tmpl w:val="D9F661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573569"/>
    <w:multiLevelType w:val="multilevel"/>
    <w:tmpl w:val="6DF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8780B"/>
    <w:multiLevelType w:val="multilevel"/>
    <w:tmpl w:val="0362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1271B"/>
    <w:multiLevelType w:val="hybridMultilevel"/>
    <w:tmpl w:val="C4E053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165E3E"/>
    <w:multiLevelType w:val="multilevel"/>
    <w:tmpl w:val="6B7E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53AD3"/>
    <w:multiLevelType w:val="hybridMultilevel"/>
    <w:tmpl w:val="E02EE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9726957"/>
    <w:multiLevelType w:val="hybridMultilevel"/>
    <w:tmpl w:val="D8782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F47BA5"/>
    <w:multiLevelType w:val="multilevel"/>
    <w:tmpl w:val="906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170A27"/>
    <w:multiLevelType w:val="hybridMultilevel"/>
    <w:tmpl w:val="3F96D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8824F9"/>
    <w:multiLevelType w:val="hybridMultilevel"/>
    <w:tmpl w:val="20909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E665EEC"/>
    <w:multiLevelType w:val="multilevel"/>
    <w:tmpl w:val="ABD6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808972">
    <w:abstractNumId w:val="7"/>
  </w:num>
  <w:num w:numId="2" w16cid:durableId="1939365642">
    <w:abstractNumId w:val="4"/>
  </w:num>
  <w:num w:numId="3" w16cid:durableId="704061975">
    <w:abstractNumId w:val="10"/>
  </w:num>
  <w:num w:numId="4" w16cid:durableId="1860967935">
    <w:abstractNumId w:val="2"/>
  </w:num>
  <w:num w:numId="5" w16cid:durableId="1845435329">
    <w:abstractNumId w:val="13"/>
  </w:num>
  <w:num w:numId="6" w16cid:durableId="464474487">
    <w:abstractNumId w:val="5"/>
  </w:num>
  <w:num w:numId="7" w16cid:durableId="778454337">
    <w:abstractNumId w:val="0"/>
  </w:num>
  <w:num w:numId="8" w16cid:durableId="1218474483">
    <w:abstractNumId w:val="8"/>
  </w:num>
  <w:num w:numId="9" w16cid:durableId="1511988253">
    <w:abstractNumId w:val="6"/>
  </w:num>
  <w:num w:numId="10" w16cid:durableId="648020562">
    <w:abstractNumId w:val="3"/>
  </w:num>
  <w:num w:numId="11" w16cid:durableId="1075392611">
    <w:abstractNumId w:val="11"/>
  </w:num>
  <w:num w:numId="12" w16cid:durableId="147291282">
    <w:abstractNumId w:val="9"/>
  </w:num>
  <w:num w:numId="13" w16cid:durableId="1407453020">
    <w:abstractNumId w:val="1"/>
  </w:num>
  <w:num w:numId="14" w16cid:durableId="14234533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E3"/>
    <w:rsid w:val="000473F5"/>
    <w:rsid w:val="0027158E"/>
    <w:rsid w:val="00365452"/>
    <w:rsid w:val="004728CE"/>
    <w:rsid w:val="004C7E6A"/>
    <w:rsid w:val="005A19CF"/>
    <w:rsid w:val="0067245C"/>
    <w:rsid w:val="008874F9"/>
    <w:rsid w:val="00953791"/>
    <w:rsid w:val="009F25E3"/>
    <w:rsid w:val="00B7432A"/>
    <w:rsid w:val="00C63336"/>
    <w:rsid w:val="00ED59F3"/>
    <w:rsid w:val="00F44F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4611"/>
  <w15:chartTrackingRefBased/>
  <w15:docId w15:val="{EF89DD55-5E32-49B8-807D-A9BB2165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E6A"/>
    <w:pPr>
      <w:spacing w:after="200" w:line="276" w:lineRule="auto"/>
      <w:jc w:val="both"/>
    </w:pPr>
    <w:rPr>
      <w:rFonts w:ascii="Times New Roman" w:hAnsi="Times New Roman"/>
      <w:kern w:val="0"/>
      <w:sz w:val="22"/>
      <w:szCs w:val="22"/>
      <w14:ligatures w14:val="none"/>
    </w:rPr>
  </w:style>
  <w:style w:type="paragraph" w:styleId="Heading1">
    <w:name w:val="heading 1"/>
    <w:basedOn w:val="Normal"/>
    <w:next w:val="Normal"/>
    <w:link w:val="Heading1Char"/>
    <w:uiPriority w:val="9"/>
    <w:qFormat/>
    <w:rsid w:val="00ED59F3"/>
    <w:pPr>
      <w:keepNext/>
      <w:keepLines/>
      <w:spacing w:before="360" w:after="80"/>
      <w:outlineLvl w:val="0"/>
    </w:pPr>
    <w:rPr>
      <w:rFonts w:eastAsiaTheme="majorEastAsia" w:cstheme="majorBidi"/>
      <w:b/>
      <w:sz w:val="44"/>
      <w:szCs w:val="40"/>
    </w:rPr>
  </w:style>
  <w:style w:type="paragraph" w:styleId="Heading2">
    <w:name w:val="heading 2"/>
    <w:basedOn w:val="Normal"/>
    <w:next w:val="Normal"/>
    <w:link w:val="Heading2Char"/>
    <w:uiPriority w:val="9"/>
    <w:unhideWhenUsed/>
    <w:qFormat/>
    <w:rsid w:val="00953791"/>
    <w:pPr>
      <w:keepNext/>
      <w:keepLines/>
      <w:spacing w:before="160" w:after="80" w:line="259" w:lineRule="auto"/>
      <w:outlineLvl w:val="1"/>
    </w:pPr>
    <w:rPr>
      <w:rFonts w:eastAsiaTheme="majorEastAsia" w:cstheme="majorBidi"/>
      <w:b/>
      <w:kern w:val="2"/>
      <w:sz w:val="32"/>
      <w:szCs w:val="32"/>
      <w14:ligatures w14:val="standardContextual"/>
    </w:rPr>
  </w:style>
  <w:style w:type="paragraph" w:styleId="Heading3">
    <w:name w:val="heading 3"/>
    <w:basedOn w:val="Normal"/>
    <w:next w:val="Normal"/>
    <w:link w:val="Heading3Char"/>
    <w:autoRedefine/>
    <w:uiPriority w:val="9"/>
    <w:unhideWhenUsed/>
    <w:qFormat/>
    <w:rsid w:val="009F25E3"/>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9F25E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25E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25E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25E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25E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25E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791"/>
    <w:rPr>
      <w:rFonts w:ascii="Times New Roman" w:eastAsiaTheme="majorEastAsia" w:hAnsi="Times New Roman" w:cstheme="majorBidi"/>
      <w:b/>
      <w:sz w:val="32"/>
      <w:szCs w:val="32"/>
    </w:rPr>
  </w:style>
  <w:style w:type="character" w:customStyle="1" w:styleId="Heading1Char">
    <w:name w:val="Heading 1 Char"/>
    <w:basedOn w:val="DefaultParagraphFont"/>
    <w:link w:val="Heading1"/>
    <w:uiPriority w:val="9"/>
    <w:rsid w:val="00ED59F3"/>
    <w:rPr>
      <w:rFonts w:ascii="Times New Roman" w:eastAsiaTheme="majorEastAsia" w:hAnsi="Times New Roman" w:cstheme="majorBidi"/>
      <w:b/>
      <w:kern w:val="0"/>
      <w:sz w:val="44"/>
      <w:szCs w:val="40"/>
      <w14:ligatures w14:val="none"/>
    </w:rPr>
  </w:style>
  <w:style w:type="character" w:customStyle="1" w:styleId="Heading3Char">
    <w:name w:val="Heading 3 Char"/>
    <w:basedOn w:val="DefaultParagraphFont"/>
    <w:link w:val="Heading3"/>
    <w:uiPriority w:val="9"/>
    <w:rsid w:val="009F25E3"/>
    <w:rPr>
      <w:rFonts w:ascii="Times New Roman" w:eastAsiaTheme="majorEastAsia" w:hAnsi="Times New Roman" w:cstheme="majorBidi"/>
      <w:b/>
      <w:kern w:val="0"/>
      <w:sz w:val="28"/>
      <w:szCs w:val="28"/>
      <w14:ligatures w14:val="none"/>
    </w:rPr>
  </w:style>
  <w:style w:type="character" w:customStyle="1" w:styleId="Heading4Char">
    <w:name w:val="Heading 4 Char"/>
    <w:basedOn w:val="DefaultParagraphFont"/>
    <w:link w:val="Heading4"/>
    <w:uiPriority w:val="9"/>
    <w:semiHidden/>
    <w:rsid w:val="009F25E3"/>
    <w:rPr>
      <w:rFonts w:eastAsiaTheme="majorEastAsia"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semiHidden/>
    <w:rsid w:val="009F25E3"/>
    <w:rPr>
      <w:rFonts w:eastAsiaTheme="majorEastAsia"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9F25E3"/>
    <w:rPr>
      <w:rFonts w:eastAsiaTheme="majorEastAsia" w:cstheme="majorBidi"/>
      <w:i/>
      <w:iCs/>
      <w:color w:val="595959" w:themeColor="text1" w:themeTint="A6"/>
      <w:kern w:val="0"/>
      <w:sz w:val="22"/>
      <w:szCs w:val="22"/>
      <w14:ligatures w14:val="none"/>
    </w:rPr>
  </w:style>
  <w:style w:type="character" w:customStyle="1" w:styleId="Heading7Char">
    <w:name w:val="Heading 7 Char"/>
    <w:basedOn w:val="DefaultParagraphFont"/>
    <w:link w:val="Heading7"/>
    <w:uiPriority w:val="9"/>
    <w:semiHidden/>
    <w:rsid w:val="009F25E3"/>
    <w:rPr>
      <w:rFonts w:eastAsiaTheme="majorEastAsia" w:cstheme="majorBidi"/>
      <w:color w:val="595959" w:themeColor="text1" w:themeTint="A6"/>
      <w:kern w:val="0"/>
      <w:sz w:val="22"/>
      <w:szCs w:val="22"/>
      <w14:ligatures w14:val="none"/>
    </w:rPr>
  </w:style>
  <w:style w:type="character" w:customStyle="1" w:styleId="Heading8Char">
    <w:name w:val="Heading 8 Char"/>
    <w:basedOn w:val="DefaultParagraphFont"/>
    <w:link w:val="Heading8"/>
    <w:uiPriority w:val="9"/>
    <w:semiHidden/>
    <w:rsid w:val="009F25E3"/>
    <w:rPr>
      <w:rFonts w:eastAsiaTheme="majorEastAsia" w:cstheme="majorBidi"/>
      <w:i/>
      <w:iCs/>
      <w:color w:val="272727" w:themeColor="text1" w:themeTint="D8"/>
      <w:kern w:val="0"/>
      <w:sz w:val="22"/>
      <w:szCs w:val="22"/>
      <w14:ligatures w14:val="none"/>
    </w:rPr>
  </w:style>
  <w:style w:type="character" w:customStyle="1" w:styleId="Heading9Char">
    <w:name w:val="Heading 9 Char"/>
    <w:basedOn w:val="DefaultParagraphFont"/>
    <w:link w:val="Heading9"/>
    <w:uiPriority w:val="9"/>
    <w:semiHidden/>
    <w:rsid w:val="009F25E3"/>
    <w:rPr>
      <w:rFonts w:eastAsiaTheme="majorEastAsia" w:cstheme="majorBidi"/>
      <w:color w:val="272727" w:themeColor="text1" w:themeTint="D8"/>
      <w:kern w:val="0"/>
      <w:sz w:val="22"/>
      <w:szCs w:val="22"/>
      <w14:ligatures w14:val="none"/>
    </w:rPr>
  </w:style>
  <w:style w:type="paragraph" w:styleId="Title">
    <w:name w:val="Title"/>
    <w:basedOn w:val="Normal"/>
    <w:next w:val="Normal"/>
    <w:link w:val="TitleChar"/>
    <w:uiPriority w:val="10"/>
    <w:qFormat/>
    <w:rsid w:val="009F2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5E3"/>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F25E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5E3"/>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F25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25E3"/>
    <w:rPr>
      <w:rFonts w:ascii="Times New Roman" w:hAnsi="Times New Roman"/>
      <w:i/>
      <w:iCs/>
      <w:color w:val="404040" w:themeColor="text1" w:themeTint="BF"/>
      <w:kern w:val="0"/>
      <w:sz w:val="22"/>
      <w:szCs w:val="22"/>
      <w14:ligatures w14:val="none"/>
    </w:rPr>
  </w:style>
  <w:style w:type="paragraph" w:styleId="ListParagraph">
    <w:name w:val="List Paragraph"/>
    <w:basedOn w:val="Normal"/>
    <w:uiPriority w:val="34"/>
    <w:qFormat/>
    <w:rsid w:val="009F25E3"/>
    <w:pPr>
      <w:ind w:left="720"/>
      <w:contextualSpacing/>
    </w:pPr>
  </w:style>
  <w:style w:type="character" w:styleId="IntenseEmphasis">
    <w:name w:val="Intense Emphasis"/>
    <w:basedOn w:val="DefaultParagraphFont"/>
    <w:uiPriority w:val="21"/>
    <w:qFormat/>
    <w:rsid w:val="009F25E3"/>
    <w:rPr>
      <w:i/>
      <w:iCs/>
      <w:color w:val="0F4761" w:themeColor="accent1" w:themeShade="BF"/>
    </w:rPr>
  </w:style>
  <w:style w:type="paragraph" w:styleId="IntenseQuote">
    <w:name w:val="Intense Quote"/>
    <w:basedOn w:val="Normal"/>
    <w:next w:val="Normal"/>
    <w:link w:val="IntenseQuoteChar"/>
    <w:uiPriority w:val="30"/>
    <w:qFormat/>
    <w:rsid w:val="009F25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5E3"/>
    <w:rPr>
      <w:rFonts w:ascii="Times New Roman" w:hAnsi="Times New Roman"/>
      <w:i/>
      <w:iCs/>
      <w:color w:val="0F4761" w:themeColor="accent1" w:themeShade="BF"/>
      <w:kern w:val="0"/>
      <w:sz w:val="22"/>
      <w:szCs w:val="22"/>
      <w14:ligatures w14:val="none"/>
    </w:rPr>
  </w:style>
  <w:style w:type="character" w:styleId="IntenseReference">
    <w:name w:val="Intense Reference"/>
    <w:basedOn w:val="DefaultParagraphFont"/>
    <w:uiPriority w:val="32"/>
    <w:qFormat/>
    <w:rsid w:val="009F25E3"/>
    <w:rPr>
      <w:b/>
      <w:bCs/>
      <w:smallCaps/>
      <w:color w:val="0F4761" w:themeColor="accent1" w:themeShade="BF"/>
      <w:spacing w:val="5"/>
    </w:rPr>
  </w:style>
  <w:style w:type="table" w:styleId="TableGrid">
    <w:name w:val="Table Grid"/>
    <w:basedOn w:val="TableNormal"/>
    <w:uiPriority w:val="39"/>
    <w:rsid w:val="009F2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9F25E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6Colorful-Accent6">
    <w:name w:val="Grid Table 6 Colorful Accent 6"/>
    <w:basedOn w:val="TableNormal"/>
    <w:uiPriority w:val="51"/>
    <w:rsid w:val="009F25E3"/>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4-Accent6">
    <w:name w:val="Grid Table 4 Accent 6"/>
    <w:basedOn w:val="TableNormal"/>
    <w:uiPriority w:val="49"/>
    <w:rsid w:val="00F44FD4"/>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678651">
      <w:bodyDiv w:val="1"/>
      <w:marLeft w:val="0"/>
      <w:marRight w:val="0"/>
      <w:marTop w:val="0"/>
      <w:marBottom w:val="0"/>
      <w:divBdr>
        <w:top w:val="none" w:sz="0" w:space="0" w:color="auto"/>
        <w:left w:val="none" w:sz="0" w:space="0" w:color="auto"/>
        <w:bottom w:val="none" w:sz="0" w:space="0" w:color="auto"/>
        <w:right w:val="none" w:sz="0" w:space="0" w:color="auto"/>
      </w:divBdr>
      <w:divsChild>
        <w:div w:id="1687100769">
          <w:marLeft w:val="0"/>
          <w:marRight w:val="0"/>
          <w:marTop w:val="0"/>
          <w:marBottom w:val="0"/>
          <w:divBdr>
            <w:top w:val="none" w:sz="0" w:space="0" w:color="auto"/>
            <w:left w:val="none" w:sz="0" w:space="0" w:color="auto"/>
            <w:bottom w:val="none" w:sz="0" w:space="0" w:color="auto"/>
            <w:right w:val="none" w:sz="0" w:space="0" w:color="auto"/>
          </w:divBdr>
          <w:divsChild>
            <w:div w:id="798108998">
              <w:marLeft w:val="0"/>
              <w:marRight w:val="0"/>
              <w:marTop w:val="0"/>
              <w:marBottom w:val="0"/>
              <w:divBdr>
                <w:top w:val="none" w:sz="0" w:space="0" w:color="auto"/>
                <w:left w:val="none" w:sz="0" w:space="0" w:color="auto"/>
                <w:bottom w:val="none" w:sz="0" w:space="0" w:color="auto"/>
                <w:right w:val="none" w:sz="0" w:space="0" w:color="auto"/>
              </w:divBdr>
            </w:div>
          </w:divsChild>
        </w:div>
        <w:div w:id="680619838">
          <w:marLeft w:val="0"/>
          <w:marRight w:val="0"/>
          <w:marTop w:val="0"/>
          <w:marBottom w:val="0"/>
          <w:divBdr>
            <w:top w:val="none" w:sz="0" w:space="0" w:color="auto"/>
            <w:left w:val="none" w:sz="0" w:space="0" w:color="auto"/>
            <w:bottom w:val="none" w:sz="0" w:space="0" w:color="auto"/>
            <w:right w:val="none" w:sz="0" w:space="0" w:color="auto"/>
          </w:divBdr>
          <w:divsChild>
            <w:div w:id="7890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3348">
      <w:bodyDiv w:val="1"/>
      <w:marLeft w:val="0"/>
      <w:marRight w:val="0"/>
      <w:marTop w:val="0"/>
      <w:marBottom w:val="0"/>
      <w:divBdr>
        <w:top w:val="none" w:sz="0" w:space="0" w:color="auto"/>
        <w:left w:val="none" w:sz="0" w:space="0" w:color="auto"/>
        <w:bottom w:val="none" w:sz="0" w:space="0" w:color="auto"/>
        <w:right w:val="none" w:sz="0" w:space="0" w:color="auto"/>
      </w:divBdr>
      <w:divsChild>
        <w:div w:id="864170894">
          <w:marLeft w:val="0"/>
          <w:marRight w:val="0"/>
          <w:marTop w:val="0"/>
          <w:marBottom w:val="0"/>
          <w:divBdr>
            <w:top w:val="none" w:sz="0" w:space="0" w:color="auto"/>
            <w:left w:val="none" w:sz="0" w:space="0" w:color="auto"/>
            <w:bottom w:val="none" w:sz="0" w:space="0" w:color="auto"/>
            <w:right w:val="none" w:sz="0" w:space="0" w:color="auto"/>
          </w:divBdr>
          <w:divsChild>
            <w:div w:id="459570793">
              <w:marLeft w:val="0"/>
              <w:marRight w:val="0"/>
              <w:marTop w:val="0"/>
              <w:marBottom w:val="0"/>
              <w:divBdr>
                <w:top w:val="none" w:sz="0" w:space="0" w:color="auto"/>
                <w:left w:val="none" w:sz="0" w:space="0" w:color="auto"/>
                <w:bottom w:val="none" w:sz="0" w:space="0" w:color="auto"/>
                <w:right w:val="none" w:sz="0" w:space="0" w:color="auto"/>
              </w:divBdr>
            </w:div>
          </w:divsChild>
        </w:div>
        <w:div w:id="471867632">
          <w:marLeft w:val="0"/>
          <w:marRight w:val="0"/>
          <w:marTop w:val="0"/>
          <w:marBottom w:val="0"/>
          <w:divBdr>
            <w:top w:val="none" w:sz="0" w:space="0" w:color="auto"/>
            <w:left w:val="none" w:sz="0" w:space="0" w:color="auto"/>
            <w:bottom w:val="none" w:sz="0" w:space="0" w:color="auto"/>
            <w:right w:val="none" w:sz="0" w:space="0" w:color="auto"/>
          </w:divBdr>
          <w:divsChild>
            <w:div w:id="12656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Manavi Nayanathara Thathsarani KEHELKADUWA VITHANAGE</dc:creator>
  <cp:keywords/>
  <dc:description/>
  <cp:lastModifiedBy>Manavi Nayanathara Thathsarani KEHELKADUWA VITHANAGE</cp:lastModifiedBy>
  <cp:revision>3</cp:revision>
  <dcterms:created xsi:type="dcterms:W3CDTF">2025-05-06T00:15:00Z</dcterms:created>
  <dcterms:modified xsi:type="dcterms:W3CDTF">2025-05-06T00:23:00Z</dcterms:modified>
</cp:coreProperties>
</file>